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2E74B5"/>
          <w:sz w:val="20"/>
        </w:rPr>
        <w:t>QUANTLAB · 权威产品方案</w:t>
      </w:r>
    </w:p>
    <w:p>
      <w:pPr>
        <w:spacing w:before="0" w:after="120"/>
      </w:pPr>
      <w:r>
        <w:rPr>
          <w:rFonts w:ascii="Calibri" w:hAnsi="Calibri" w:eastAsia="Microsoft YaHei"/>
          <w:b/>
          <w:color w:val="0B2545"/>
          <w:sz w:val="52"/>
        </w:rPr>
        <w:t>如何搭建自己的量化交易系统</w:t>
      </w:r>
    </w:p>
    <w:p>
      <w:pPr>
        <w:spacing w:after="320"/>
      </w:pPr>
      <w:r>
        <w:rPr>
          <w:rFonts w:ascii="Calibri" w:hAnsi="Calibri" w:eastAsia="Microsoft YaHei"/>
          <w:color w:val="5B6573"/>
          <w:sz w:val="28"/>
        </w:rPr>
        <w:t>个人中低频量化研究、推荐与模拟交易定稿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方案版本：</w:t>
      </w:r>
      <w:r>
        <w:rPr>
          <w:rFonts w:ascii="Calibri" w:hAnsi="Calibri" w:eastAsia="Microsoft YaHei"/>
          <w:sz w:val="21"/>
        </w:rPr>
        <w:t>3.0（定稿）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批准日期：</w:t>
      </w:r>
      <w:r>
        <w:rPr>
          <w:rFonts w:ascii="Calibri" w:hAnsi="Calibri" w:eastAsia="Microsoft YaHei"/>
          <w:sz w:val="21"/>
        </w:rPr>
        <w:t>2026-07-16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适用边界：</w:t>
      </w:r>
      <w:r>
        <w:rPr>
          <w:rFonts w:ascii="Calibri" w:hAnsi="Calibri" w:eastAsia="Microsoft YaHei"/>
          <w:sz w:val="21"/>
        </w:rPr>
        <w:t>A股；仅 Tushare；日线与分钟线；研究、回测、推荐、审批与完整模拟交易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技术基准：</w:t>
      </w:r>
      <w:r>
        <w:rPr>
          <w:rFonts w:ascii="Calibri" w:hAnsi="Calibri" w:eastAsia="Microsoft YaHei"/>
          <w:sz w:val="21"/>
        </w:rPr>
        <w:t>Qlib + RD-Agent（固定并经兼容验证的版本）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唯一排除：</w:t>
      </w:r>
      <w:r>
        <w:rPr>
          <w:rFonts w:ascii="Calibri" w:hAnsi="Calibri" w:eastAsia="Microsoft YaHei"/>
          <w:sz w:val="21"/>
        </w:rPr>
        <w:t>券商连接、真实账户、真实资金与真实委托；QMT 默认关闭</w:t>
      </w:r>
    </w:p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权威声明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 DOCX 是 3.0 定稿，决定产品目标、个人投资授权、策略体系、数据口径、成本模型、风险参数、推荐与模拟交易规则以及验收标准；Qlib 与 RD-Agent 决定技术实现基准。除非证券市场规则、Tushare 接口或上游软件发生外部变化，否则不得另起一套产品方案。</w:t>
            </w:r>
          </w:p>
        </w:tc>
      </w:tr>
    </w:tbl>
    <w:p>
      <w:pPr>
        <w:spacing w:after="0"/>
      </w:pPr>
    </w:p>
    <w:p>
      <w:pPr>
        <w:pStyle w:val="Heading1"/>
      </w:pPr>
      <w:r>
        <w:t>1. 基准、目标与唯一主线</w:t>
      </w:r>
    </w:p>
    <w:p>
      <w:r>
        <w:rPr>
          <w:rFonts w:ascii="Calibri" w:hAnsi="Calibri" w:eastAsia="Microsoft YaHei"/>
        </w:rPr>
        <w:t>本产品是使用真实市场数据运行的个人投资辅助系统：完成研究、正式回测、买入/卖出/持有推荐、组合风险控制、模拟订单、模拟成交、虚拟持仓和净值跟踪；唯一不执行券商实盘下单。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400"/>
        <w:gridCol w:w="60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优先级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基准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决定内容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本 DOCX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产品目标、策略、风险、范围和验收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/ RD-Agent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数据表达、研究、模型、组合、回测、执行与实验的技术基准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项目自研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仅补足上游无法满足的 Tushare、治理、A股、持久模拟、配对双腿与运维能力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唯一主线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Tushare 不可变快照 → Qlib 数据集 → RD-Agent 研究 → 独立复算与准入 → Qlib 正式回测 → 策略审批 → 买卖推荐 → 核心/卫星分配 → 统一模拟交易 → 表现复核与策略生命周期</w:t>
            </w:r>
          </w:p>
        </w:tc>
      </w:tr>
    </w:tbl>
    <w:p>
      <w:pPr>
        <w:spacing w:after="0"/>
      </w:pPr>
    </w:p>
    <w:p>
      <w:pPr>
        <w:pStyle w:val="Heading2"/>
      </w:pPr>
      <w:r>
        <w:t>1.1 个人投资授权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400"/>
        <w:gridCol w:w="50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授权项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定稿值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执行含义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基准本金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人民币 500 万元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回测容量、整手、最低佣金、模拟现金和推荐权重均按此基准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投资市场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A股及境内场内 ETF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数据源只使用 Tushare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频率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中低频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核心以日线/月度调仓为主；分钟数据只用于执行模拟和已批准卫星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最大组合回撤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10%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达到 10% 时停止新增买入推荐并将模拟组合转为退出状态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核心目标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扣费后长期正收益并取得基准超额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不承诺每笔、每月或每年盈利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决策方式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系统建议、用户决定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系统输出依据和风险，不替代用户最终判断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产品目标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系统必须证明策略在锁定样本外、完整成本、不同市场阶段和持续模拟交易中具有正期望，再输出正式推荐。不能满足准入线时，正确结果是保持现金或不推荐，而不是强行给出买卖信号。</w:t>
            </w:r>
          </w:p>
        </w:tc>
      </w:tr>
    </w:tbl>
    <w:p>
      <w:pPr>
        <w:spacing w:after="0"/>
      </w:pPr>
    </w:p>
    <w:p>
      <w:pPr>
        <w:pStyle w:val="Heading2"/>
      </w:pPr>
      <w:r>
        <w:t>1.2 系统必须输出的结果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每日风险检查；核心策略默认在月度调仓日产生正式买入、卖出、持有和目标权重建议。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每条建议包含证券、动作、当前权重、目标权重、建议执行窗口、原因、风险提示、策略版本和失效条件。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每次推荐同步进入统一模拟交易，记录计划、订单、成交、未成交、现金、持仓、成本、NAV、回撤和相对基准表现。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控制台同时显示回测成绩、样本外成绩、模拟成绩和当前推荐，禁止把回测收益冒充模拟或真实收益。</w:t>
      </w:r>
    </w:p>
    <w:p>
      <w:r>
        <w:rPr>
          <w:rFonts w:ascii="Calibri" w:hAnsi="Calibri" w:eastAsia="Microsoft YaHei"/>
        </w:rPr>
        <w:t>正式建设顺序固定为指数增强、全市场行业中性多因子、统一推荐与模拟交易，之后才增加卫星策略。卫星必须复用同一准入、回测、审批、分配和模拟链。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核心：指数增强。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核心：全市场行业中性多因子。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第一批卫星：Swing 与分钟均值回归。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研究型卫星：配对/统计套利，以及通过准入的 ML 信号。</w:t>
      </w:r>
    </w:p>
    <w:p>
      <w:pPr>
        <w:pStyle w:val="Heading1"/>
      </w:pPr>
      <w:r>
        <w:t>2. 固定边界与禁止事项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数据源只使用 Tushare；权限不足时阻断相关运营验收，不切换其他数据商。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支持日线和分钟线研究、买卖推荐、执行回放和模拟成交，不做 Tick、Level-2、逐笔或毫秒级高频。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除实盘外全部建设；页面、调度器、回测、推荐、回放与模拟任务均不得向 QMT 或任何券商发单。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QMT 仅作为默认关闭的可选插件附录保留，不删除插件，也不进入主线验收。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不建设独立 C++ 回测引擎。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Qlib/RD-Agent 已有等价能力必须迁入、包装或删除重复实现；新旧路径不得同时作为生产路径。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历史策略版本、模拟账户、成交、NAV 与审计记录保持不可变。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任何未经准入的研究结果只能标记为研究候选，不得显示成正式买卖推荐。</w:t>
      </w:r>
    </w:p>
    <w:p>
      <w:pPr>
        <w:pStyle w:val="Heading1"/>
      </w:pPr>
      <w:r>
        <w:t>3. 责任边界与系统架构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能力域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技术责任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项目约束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数据/特征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Dataset、表达式、处理器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Tushare 下载、不可变快照、PIT 血缘、Qlib 转换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自动研究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RD-Agent 候选因子/模型、实验迭代、挑战者编排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独立复算、统计准入、审批和审计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组合/风险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PortfolioOptimizer 与 risk model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A股约束、核心/卫星上限、风险状态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回测/执行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Strategy、Executor、Exchange、分析与 Recorder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A股 T+1、停牌、涨跌停、费用、流动性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模拟盘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生成目标、订单计划与回测执行证据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PostgreSQL 持久现金、订单、成交、持仓、NAV、事件与幂等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配对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保存 Dataset/Recorder/标准指标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协整/Kalman、卖空资格、借券成本与双腿原子成交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运维/UI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—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调度、告警、备份恢复及统一控制台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Qlib 与 RD-Agent 必须使用经验证的固定版本，并记录版本与提交标识；任何升级都要重新运行导入、制品兼容、回测结果和量化回归。</w:t>
      </w:r>
    </w:p>
    <w:p>
      <w:pPr>
        <w:pStyle w:val="Heading1"/>
      </w:pPr>
      <w:r>
        <w:t>4. 数据、频率与时间语义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Tushare 原始响应按批次形成不可变快照；快照记录接口、参数、请求窗口、时间、校验和与权限证据。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Qlib 数据集只从已冻结且通过质量门的快照生成，数据集记录快照血缘、构建配置、频率、日历和校验和。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原生频率为 day、1min、5min；15min、30min、60min 只由 Qlib 从分钟数据重采样，不增加下载线路。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日线研究和分钟研究使用独立数据集与实验，禁止在同一策略版本中隐式混用。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任何信号最早在下一 Bar 成交；日线信号最早在下一交易日执行，禁止同 Bar 成交和未来信息。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股票池、行业、财务与退市状态必须采用 PIT 口径，包含已退市证券，防止幸存者偏差。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300"/>
        <w:gridCol w:w="3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字段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含义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允许值/规则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signal_frequency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生成信号的数据频率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day / 1min / 5min / Qlib 重采样频率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signal_period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信号观察与持有周期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策略版本固定，不能静默改变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execution_frequency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执行切片频率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1min 或 5min；必须晚于信号可用时点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execution_contract_hash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完整执行语义的内容哈希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回测、回放、模拟批次必须一致</w:t>
            </w:r>
          </w:p>
        </w:tc>
      </w:tr>
    </w:tbl>
    <w:p>
      <w:pPr>
        <w:spacing w:after="0"/>
      </w:pPr>
    </w:p>
    <w:p>
      <w:pPr>
        <w:pStyle w:val="Heading2"/>
      </w:pPr>
      <w:r>
        <w:t>4.1 Tushare 字段与公司行动口径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数据项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原始口径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系统标准口径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日线 vol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手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乘以 100 后存储为股；禁止直接作为 Qlib volume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日线 amount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千元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乘以 1,000 后存储为人民币元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分钟 vol / amount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股 / 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保持股 / 元，不再重复换算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OHLC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未复权价格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原始价永久保留，执行、涨跌停与账本只使用原始价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adj_factor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复权因子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因子与收益使用 raw_price × adj_factor；不得使用未来公司行动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财务数据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公告与报告期并存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最早在实际公告日之后可用；修订按当时可见版本进入新快照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行业/指数成分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纳入、剔除日期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按交易日 PIT 展开，禁止用当前成分回填历史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停牌/退市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状态与日期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停牌不成交；退市证券保留在历史股票池并按真实可交易阶段处理</w:t>
            </w:r>
          </w:p>
        </w:tc>
      </w:tr>
    </w:tbl>
    <w:p>
      <w:pPr>
        <w:spacing w:after="0"/>
      </w:pP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每个数据集必须检查主键重复、交易日缺口、OHLC 关系、负数、零成交量、异常跳变、跨源字段单位和日历一致性。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现金分红、送转、拆并股等公司行动在模拟账本中调整现金或数量；信号计算与模拟记账不得靠同一列复权价同时完成。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停牌或成交量为零时订单保持未成交；一字涨停禁止买入，一字跌停禁止卖出；其他情况按可用分钟 Bar、参与率和成本模型判断。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退市前只使用当时已公开信息；无法成交的退市持仓保持风险标记，按实际现金结算处理，不得用事后可知价格提前退出。</w:t>
      </w:r>
    </w:p>
    <w:p>
      <w:pPr>
        <w:pStyle w:val="Heading2"/>
      </w:pPr>
      <w:r>
        <w:t>4.2 交易成本与冲击模型</w:t>
      </w:r>
    </w:p>
    <w:p>
      <w:r>
        <w:rPr>
          <w:rFonts w:ascii="Calibri" w:hAnsi="Calibri" w:eastAsia="Microsoft YaHei"/>
        </w:rPr>
        <w:t>以下为 2026-07-16 的模拟基准。税费规则、券商佣金或交易制度变化时，只新增 cost_model_version 并重跑受影响结果，不修改历史记录。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500"/>
        <w:gridCol w:w="4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成本项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定稿基准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计算规则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券商佣金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成交额 0.03%，单笔最低 5 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买卖双边；允许账户配置覆盖，但不得低于真实合同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证券交易印花税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卖出成交额 0.05%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仅股票卖出；ETF 等按品种规则配置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A股交易过户费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成交额 0.001%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买卖双边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基础滑点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日线 5 bps；分钟 VWAP 2 bps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买入加价、卖出减价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市场冲击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25 bps × sqrt(订单额 / 20日平均成交额)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与基础滑点相加，单边最高 100 bps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成交量参与率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单 Bar 和全日均 ≤1%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超过部分延迟到下一可执行 Bar，不得强行成交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融券情景成本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年化 8%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只用于研究型股票多空模拟；不代表真实可借券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压力测试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基础成本 2 倍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正式准入必须仍满足收益、回撤和容量门槛</w:t>
            </w:r>
          </w:p>
        </w:tc>
      </w:tr>
    </w:tbl>
    <w:p>
      <w:pPr>
        <w:spacing w:after="0"/>
      </w:pPr>
    </w:p>
    <w:p>
      <w:pPr>
        <w:pStyle w:val="Heading1"/>
      </w:pPr>
      <w:r>
        <w:t>5. 策略版本、研究和准入</w:t>
      </w:r>
    </w:p>
    <w:p>
      <w:r>
        <w:rPr>
          <w:rFonts w:ascii="Calibri" w:hAnsi="Calibri" w:eastAsia="Microsoft YaHei"/>
        </w:rPr>
        <w:t>strategy_type 仅保留 multifactor 与 pair；配方包括 index_enhancement、full_market_multifactor、swing_trend、minute_mean_reversion 以及受控 custom。</w:t>
      </w:r>
    </w:p>
    <w:p>
      <w:r>
        <w:rPr>
          <w:rFonts w:ascii="Calibri" w:hAnsi="Calibri" w:eastAsia="Microsoft YaHei"/>
        </w:rPr>
        <w:t>每个不可变策略版本必须固化以下内容：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配方和配方版本、strategy_type、信号频率、信号周期、执行频率。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风险参数、成本模型、执行窗口、切片、参与率、跨日规则与执行契约哈希。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数据集与不可变快照血缘、Qlib/RD-Agent 版本及提交标识、候选代码哈希。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独立复算结果、Qlib 实验/Recorder 标识、样本内外边界、压力测试与审批证据。</w:t>
      </w:r>
    </w:p>
    <w:p>
      <w:pPr>
        <w:pStyle w:val="Heading2"/>
      </w:pPr>
      <w:r>
        <w:t>5.1 RD-Agent 挑战者流程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RD-Agent 只负责候选因子/模型生成、研究迭代和挑战者实验；不得建立第二套正式回测或自动研究循环。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候选输出不得直接进入组合。项目必须从锁定数据集独立复算因子，检查方向、覆盖、缺失、稳定性和泄露。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挑战者必须使用 Qlib Dataset、Workflow、Recorder 和样本外回测，与不可变基线进行同口径比较。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通过统计、成本、容量、稳健性、血缘和审批门后，候选才可替换或增强基线；否则保留为研究制品。</w:t>
      </w:r>
    </w:p>
    <w:p>
      <w:pPr>
        <w:pStyle w:val="Heading2"/>
      </w:pPr>
      <w:r>
        <w:t>5.2 正式 Qlib 链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风险平价和逆波动率使用 Qlib PortfolioOptimizer；协方差使用 Qlib risk model。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标准绩效指标使用 Qlib 分析组件，年化日数固定为 252，累计收益使用几何口径。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正式回测使用 Qlib Strategy、Executor 和 Exchange；实验通过 Qlib Workflow/Recorder 固化。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A股专用限制通过项目约束包装和 Exchange 扩展实现，不复制 Qlib 的核心求解与分析。</w:t>
      </w:r>
    </w:p>
    <w:p>
      <w:pPr>
        <w:pStyle w:val="Heading2"/>
      </w:pPr>
      <w:r>
        <w:t>5.3 RD-Agent 试验预算与反过拟合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时间切分固定为训练 756 个交易日、验证 252 个交易日、最终测试至少 504 个交易日；所有边界在研究开始前冻结。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每个研究活动最多 100 个候选试验；单个候选最多 30 组参数。所有成功、失败和被丢弃试验均计入试验次数，不得只登记赢家。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最终测试集对同一 experiment_family 只允许解封一次。查看最终测试结果后再调参，必须建立新研究活动并使用更晚的全新测试区间。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多候选比较使用 Benjamini-Hochberg，FDR q ≤0.10；Deflated Sharpe Probability 必须 ≥0.95。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必须通过参数邻域、双倍成本、换手收紧、持仓收紧和零保留缓冲测试；只在单一点参数优秀的候选不得准入。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RD-Agent 不得自行修改准入线、数据边界、成本模型或最终测试集；这些内容只能由新策略版本显式变更。</w:t>
      </w:r>
    </w:p>
    <w:p>
      <w:pPr>
        <w:pStyle w:val="Heading2"/>
      </w:pPr>
      <w:r>
        <w:t>5.4 正式策略准入线</w:t>
      </w:r>
    </w:p>
    <w:p>
      <w:r>
        <w:rPr>
          <w:rFonts w:ascii="Calibri" w:hAnsi="Calibri" w:eastAsia="Microsoft YaHei"/>
        </w:rPr>
        <w:t>以下是进入正式推荐池的最低条件，不是收益承诺。任一硬门失败，策略只能留在研究池。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430"/>
        <w:gridCol w:w="343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指标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核心策略最低线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卫星策略最低线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样本外长度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≥504 个交易日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≥504 个交易日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扣费后年化超额收益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≥3%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≥4%；无合适基准时扣费后年化收益 ≥6%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Sharpe Ratio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≥0.80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≥1.00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Information Ratio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≥0.50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≥0.50；无基准策略可不适用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最大回撤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≤10%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≤8%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滚动稳定性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 个 252 日窗口至少 2 个为正，且最近窗口为正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容量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500 万元基准下全部约束通过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500 万元基准下全部约束通过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压力测试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双倍成本后年化收益仍为正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双倍成本后年化收益仍为正</w:t>
            </w:r>
          </w:p>
        </w:tc>
      </w:tr>
    </w:tbl>
    <w:p>
      <w:pPr>
        <w:spacing w:after="0"/>
      </w:pPr>
    </w:p>
    <w:p>
      <w:pPr>
        <w:pStyle w:val="Heading1"/>
      </w:pPr>
      <w:r>
        <w:t>6. 核心策略一：指数增强</w:t>
      </w:r>
    </w:p>
    <w:p>
      <w:r>
        <w:rPr>
          <w:rFonts w:ascii="Calibri" w:hAnsi="Calibri" w:eastAsia="Microsoft YaHei"/>
        </w:rPr>
        <w:t>以 Qlib 六因子基线为不可变起点，RD-Agent 挑战者只能在独立复算和样本外准入后替换或增强基线。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800"/>
        <w:gridCol w:w="51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因子组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基线权重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处理要求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动量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PIT、缩尾、z-score、行业/市值中性化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反转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价值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质量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成长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低波动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同上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3300"/>
        <w:gridCol w:w="40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参数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默认值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验收语义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基准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SH000300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优化与绩效均相对该基准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持仓数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100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按优化后可交易目标计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单票上限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任何目标和执行后持仓均不得突破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行业偏离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±3%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相对基准 PIT 行业权重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跟踪误差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≤3%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同口径年化 ex-ante/ex-post 证据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每日换手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≤15%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跨日 VWAP 计划同样受限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流动性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 日平均成交额 ≥5 亿元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成交量参与率 ≤1%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执行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5min，3 个交易日 VWAP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10:00–11:20；13:30–14:50</w:t>
            </w:r>
          </w:p>
        </w:tc>
      </w:tr>
    </w:tbl>
    <w:p>
      <w:pPr>
        <w:spacing w:after="0"/>
      </w:pPr>
    </w:p>
    <w:p>
      <w:pPr>
        <w:pStyle w:val="Heading1"/>
      </w:pPr>
      <w:r>
        <w:t>7. 核心策略二：全市场行业中性多因子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股票池为 PIT 全 A 股可交易股票；包含历史退市状态，排除当时不可交易证券。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使用与指数增强相同的 Qlib 六因子基线和 RD-Agent 挑战者流程。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SH000300 只用于绩效报告，不作为优化基准。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行业目标按当期全市场流通市值权重计算；规模、价值、成长和波动暴露保持中性。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参数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默认值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约束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调仓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月度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信号形成后下一可执行 Bar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持仓数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100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PIT 可交易股票池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单票/单行业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5% / 15%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目标及执行后同时约束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目标波动率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15%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优化与风险模型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流动性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 日平均成交额 ≥5 亿元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参与率 ≤1%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执行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5min，3 个交易日 VWAP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使用统一执行窗口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回撤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8%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暂停新增风险，等待复核</w:t>
            </w:r>
          </w:p>
        </w:tc>
      </w:tr>
    </w:tbl>
    <w:p>
      <w:pPr>
        <w:spacing w:after="0"/>
      </w:pPr>
    </w:p>
    <w:p>
      <w:pPr>
        <w:pStyle w:val="Heading1"/>
      </w:pPr>
      <w:r>
        <w:t>8. 卫星策略一：配对/统计套利</w:t>
      </w:r>
    </w:p>
    <w:p>
      <w:r>
        <w:rPr>
          <w:rFonts w:ascii="Calibri" w:hAnsi="Calibri" w:eastAsia="Microsoft YaHei"/>
        </w:rPr>
        <w:t>配对是卫星系统，不是独立主线。保留 Qlib 无法完整表达的配对专用研究与双腿执行能力，同时复用统一数据、Recorder、指标、审批、分配和模拟接口。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研究包含相关性、Engle–Granger 协整、Kalman 动态对冲比率、Z-score、容量、费用、借券与鲁棒性验证。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日线形成信号，下一交易日使用 1min 执行窗口；禁止同日同 Bar 偷看成交。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Tushare 只能提供公开融资融券标的等资格线索，不能证明个人券商账户的真实可借数量和费率；股票空腿统一标记为假设性融券模拟。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双腿订单共享 atomic_group_id，并记录 leg_no、position_side 和 borrow_cost；两腿全部成交或全部拒绝。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配对页面只提供研究、审批和模拟，不提供实盘或券商发单。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没有人工提供的可借数量和费率证据时，股票多空配对不得进入正式投资推荐，只能进入研究报告；ETF 或 long-long 相对价值可按普通卫星准入。</w:t>
      </w:r>
    </w:p>
    <w:p>
      <w:pPr>
        <w:pStyle w:val="Heading1"/>
      </w:pPr>
      <w:r>
        <w:t>9. 其他卫星</w:t>
      </w:r>
    </w:p>
    <w:p>
      <w:pPr>
        <w:pStyle w:val="Heading2"/>
      </w:pPr>
      <w:r>
        <w:t>9.1 Swing</w:t>
      </w:r>
    </w:p>
    <w:p>
      <w:r>
        <w:rPr>
          <w:rFonts w:ascii="Calibri" w:hAnsi="Calibri" w:eastAsia="Microsoft YaHei"/>
        </w:rPr>
        <w:t>Swing 使用 Qlib 策略主线和现有 MA、ADX、量能、波动、质量过滤配方。默认止损 7%，盈利 12% 减半、20% 清仓；成员回撤 10% 降仓、15% 清仓。</w:t>
      </w:r>
    </w:p>
    <w:p>
      <w:pPr>
        <w:pStyle w:val="Heading2"/>
      </w:pPr>
      <w:r>
        <w:t>9.2 分钟均值回归</w:t>
      </w:r>
    </w:p>
    <w:p>
      <w:r>
        <w:rPr>
          <w:rFonts w:ascii="Calibri" w:hAnsi="Calibri" w:eastAsia="Microsoft YaHei"/>
        </w:rPr>
        <w:t>第一版为多头超跌回归，默认 5min 信号、1min 或 5min 执行，股票遵守 T+1。研究数据、执行数据和模拟批次必须共享频率与契约血缘。</w:t>
      </w:r>
    </w:p>
    <w:p>
      <w:pPr>
        <w:pStyle w:val="Heading2"/>
      </w:pPr>
      <w:r>
        <w:t>9.3 ML、行业轮动与事件驱动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sz w:val="22"/>
        </w:rPr>
        <w:t>ML 只作为 RD-Agent 因子或模型来源，不建设独立 ML 引擎。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sz w:val="22"/>
        </w:rPr>
        <w:t>行业轮动和事件驱动本轮不建设独立系统；未来若批准，仍必须进入同一 Qlib/RD-Agent 主线。</w:t>
      </w:r>
    </w:p>
    <w:p>
      <w:pPr>
        <w:pStyle w:val="Heading1"/>
      </w:pPr>
      <w:r>
        <w:t>10. 核心/卫星分配与组合风险</w:t>
      </w:r>
    </w:p>
    <w:p>
      <w:r>
        <w:rPr>
          <w:rFonts w:ascii="Calibri" w:hAnsi="Calibri" w:eastAsia="Microsoft YaHei"/>
        </w:rPr>
        <w:t>分配成员必须记录 role=core|satellite、风险预算和成员上限；数值优化由 Qlib 负责，项目只实施产品级上限、现金、相关性与风险状态。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800"/>
        <w:gridCol w:w="51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风险规则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默认值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处置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核心总权重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≥70%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不满足则拒绝审批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卫星总权重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≤30%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不满足则拒绝审批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单卫星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≤15%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按成员上限和风险预算共同限制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单策略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≤70%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核心与卫星均适用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目标波动率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15%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PortfolioOptimizer 求解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相关性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≤0.70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超过门槛阻断新增成员/风险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成员回撤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6% / 8% / 10%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分别告警 / 暂停新增风险 / 退出并复核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组合回撤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6% / 8% / 10%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分别降至70% / 降至30% / 停止买入并退出风险持仓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风险平价、逆波动率和目标波动率使用 Qlib 求解；分配审批只能使用认证模拟 NAV，不得用回测收益冒充模拟证据。</w:t>
      </w:r>
    </w:p>
    <w:p>
      <w:pPr>
        <w:pStyle w:val="Heading2"/>
      </w:pPr>
      <w:r>
        <w:t>10.1 暂停、恢复与淘汰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sz w:val="22"/>
        </w:rPr>
        <w:t>任何数据血缘、未来信息、成本、账本、重复记账或指标口径错误，立即暂停受影响策略和推荐，不等待收益表现确认。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sz w:val="22"/>
        </w:rPr>
        <w:t>成员回撤达到 8%、最近 60 个交易日超额收益 ≤-5%、最近 60 日 IR &lt;0，或连续两个滚动窗口未达准入线时，暂停新增买入推荐。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sz w:val="22"/>
        </w:rPr>
        <w:t>暂停后必须使用冻结版本复盘；只有数据和代码问题已修复、重新回测通过，并连续 20 个模拟交易日恢复正常，才允许重新启用。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sz w:val="22"/>
        </w:rPr>
        <w:t>成员回撤达到 10%、连续 120 个交易日未恢复、连续两个季度未达最低线，或策略经济逻辑已失效时，策略版本进入 retired，不得恢复，只能以新版本重新准入。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sz w:val="22"/>
        </w:rPr>
        <w:t>组合回撤达到 10% 时，模拟账户停止新增买入、生成退出建议并进入人工复核；系统不得为了维持持仓而放宽风险阈值。</w:t>
      </w:r>
    </w:p>
    <w:p>
      <w:pPr>
        <w:pStyle w:val="Heading1"/>
      </w:pPr>
      <w:r>
        <w:t>11. 统一模拟盘</w:t>
      </w:r>
    </w:p>
    <w:p>
      <w:pPr>
        <w:pStyle w:val="Heading2"/>
      </w:pPr>
      <w:r>
        <w:t>11.1 正式推荐</w:t>
      </w:r>
    </w:p>
    <w:p>
      <w:r>
        <w:rPr>
          <w:rFonts w:ascii="Calibri" w:hAnsi="Calibri" w:eastAsia="Microsoft YaHei"/>
        </w:rPr>
        <w:t>日线策略在 T 日收盘且数据质量门通过后生成 T+1 推荐；系统不得使用 T+1 才公布的数据改写 T 日建议。默认只对已审批且未暂停的策略生成正式推荐。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530"/>
        <w:gridCol w:w="353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字段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必填内容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action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BUY / SELL / HOLD / EXIT / NO_ACTION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明确动作；无合格机会时必须允许 NO_ACTION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current_weight / target_weight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当前与目标权重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计算建议交易量和组合风险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quantity_hint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按500万元和整手规则计算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仅为人工参考，不连接券商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execution_window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建议日期、时段、最长延迟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模拟成交与人工执行参考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reason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因子、模型、风险或退出原因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可解释与复核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risk_flags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停牌、涨跌停、流动性、回撤、数据状态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任何硬阻断必须显示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lineage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数据集、策略版本、Recorder、成本与执行契约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保证推荐可复算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valid_until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失效时间或失效条件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过期建议不得继续显示为有效</w:t>
            </w:r>
          </w:p>
        </w:tc>
      </w:tr>
    </w:tbl>
    <w:p>
      <w:pPr>
        <w:spacing w:after="0"/>
      </w:pPr>
    </w:p>
    <w:p>
      <w:pPr>
        <w:pStyle w:val="Heading2"/>
      </w:pPr>
      <w:r>
        <w:t>11.2 模拟订单、成交与账本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只使用 simulation_* 持久账本，不恢复 paper_* 或 pair_paper_* 为活跃生产路径。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主模拟账户初始现金固定为 500 万元；另可建立压力账户，但不得替代主账户验收。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账户以 source_type + source_id + execution_dataset 绑定推荐组合、已审批策略版本或已审批分配版本；旧 recommendation 账户自动映射。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Qlib 负责生成目标、订单计划和回测执行证据；PostgreSQL 负责现金、订单、成交、持仓、NAV、事件、重启恢复和审计。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长仓执行适配器支持 1min/5min、T+1、停牌、涨跌停、税费、流动性和参与率。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配对适配器支持卖空资格、借券成本和双腿原子成交；任一腿不可执行时整组拒绝。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策略、Qlib 回测、执行回放和模拟批次共享 execution_contract_hash；不一致时 fail closed。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批次、订单、成交和 NAV 具有稳定幂等键；重启和重试不得重复记账。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未成交订单必须记录原因并按策略规则取消或延期；禁止在没有可成交 Bar 时按收盘价虚构成交。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每日收盘后对账现金、持仓、成本、公司行动、NAV、回撤和基准收益；任何不平衡都阻断下一批推荐。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4100"/>
        <w:gridCol w:w="29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模拟来源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前置条件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执行适配器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recommendation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推荐组合有效且血缘一致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long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strategy_version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策略版本已审批，Qlib 证据完整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long 或 pair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allocation_version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分配已审批，成员模拟 NAV 已认证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按成员路由，统一账户记账</w:t>
            </w:r>
          </w:p>
        </w:tc>
      </w:tr>
    </w:tbl>
    <w:p>
      <w:pPr>
        <w:spacing w:after="0"/>
      </w:pPr>
    </w:p>
    <w:p>
      <w:pPr>
        <w:pStyle w:val="Heading1"/>
      </w:pPr>
      <w:r>
        <w:t>12. 审批、审计与 readiness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sz w:val="22"/>
        </w:rPr>
        <w:t>策略、因子、分配和模拟操作均执行认证、权限检查、审批状态机和不可变审计。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sz w:val="22"/>
        </w:rPr>
        <w:t>readiness 汇总数据血缘、Qlib/RD-Agent 版本、测试/制品、策略状态、模拟证据、风险事件、过期批次和恢复能力。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sz w:val="22"/>
        </w:rPr>
        <w:t>任何严重风险、过期批次、血缘不一致、频率混用、契约哈希不一致或 Tushare 权限缺口都必须显式阻断相应阶段。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sz w:val="22"/>
        </w:rPr>
        <w:t>删除重复实现之前必须完成新旧结果回归与生产引用扫描；删除后扫描确认不存在第二条活跃研究、回测、优化或模拟路径。</w:t>
      </w:r>
    </w:p>
    <w:p>
      <w:pPr>
        <w:pStyle w:val="Heading1"/>
      </w:pPr>
      <w:r>
        <w:t>13. 调度、告警、备份恢复与界面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sz w:val="22"/>
        </w:rPr>
        <w:t>连续研究、参数实验、数据构建、Qlib 回测、模拟回放和分配刷新由统一调度器编排，具备重试、取消、超时和幂等。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sz w:val="22"/>
        </w:rPr>
        <w:t>告警覆盖数据缺口、血缘、准入失败、回测异常、执行阻断、回撤状态、过期批次、备份和恢复演练。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sz w:val="22"/>
        </w:rPr>
        <w:t>备份包含 PostgreSQL、不可变快照索引、Qlib 数据集/Recorder 制品和必要配置；恢复后重新校验哈希与 readiness。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sz w:val="22"/>
        </w:rPr>
        <w:t>控制台统一为数据、RD-Agent、因子准入、Qlib 回测、审批、核心/卫星分配和模拟盘。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sz w:val="22"/>
        </w:rPr>
        <w:t>配对入口只暴露研究、审批和模拟；QMT/券商入口不得从主导航、调度和模拟任务触发。</w:t>
      </w:r>
    </w:p>
    <w:p>
      <w:pPr>
        <w:pStyle w:val="Heading1"/>
      </w:pPr>
      <w:r>
        <w:t>14. 公共接口与迁移规则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对象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新增/固定字段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迁移原则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策略配方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full_market_multifactor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旧配方不变，新契约用新版本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组合方式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industry_neutral_qp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 优先，项目包装 A股约束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策略版本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signal_frequency、signal_period、execution_frequency、execution_contract_hash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历史行不可变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上游适配器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Qlib/RD-Agent version + commit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升级触发兼容和量化回归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分配成员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role、risk_budget、member_cap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旧记录按明确规则映射并保留审计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模拟账户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source_type、source_id、execution_dataset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旧 recommendation 自动映射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订单/成交/持仓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atomic_group_id、leg_no、position_side、borrow_cost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配对原子组不可部分落账</w:t>
            </w:r>
          </w:p>
        </w:tc>
      </w:tr>
    </w:tbl>
    <w:p>
      <w:pPr>
        <w:spacing w:after="0"/>
      </w:pPr>
    </w:p>
    <w:p>
      <w:pPr>
        <w:pStyle w:val="Heading1"/>
      </w:pPr>
      <w:r>
        <w:t>15. 测试与验收</w:t>
      </w:r>
    </w:p>
    <w:p>
      <w:pPr>
        <w:pStyle w:val="Heading2"/>
      </w:pPr>
      <w:r>
        <w:t>15.1 自动化覆盖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文档白名单、唯一 DOCX、OOXML 有效性、本地链接和退役路径扫描。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Qlib/RD-Agent 固定版本、导入、运行、Recorder/制品兼容，以及仓库无第二条活跃生产路径。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PIT 股票池、行业、财务和退市股票；因子、频率、重采样、下一 Bar 执行和反泄露。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Qlib 优化器、风险模型、指标口径；累计收益几何口径和年化 252。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TWAP/VWAP 窗口、切片、跨日、费用、参与率、停牌、涨跌停和 T+1。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回撤状态、Swing 退出、配对双腿原子成交、卖空资格和借券成本。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回测、回放与模拟 execution_contract_hash 一致；重启/重试幂等；不产生 QMT/券商请求。</w:t>
      </w:r>
    </w:p>
    <w:p>
      <w:pPr>
        <w:pStyle w:val="Heading2"/>
      </w:pPr>
      <w:r>
        <w:t>15.2 量化与运营完成标准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两个核心策略分别至少 504 个样本外交易日。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至少 3 个滚动 252 日窗口和 5 个最差 20 日事件窗口。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通过双倍成本、收紧换手、持仓和容量压力测试。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形成两个已审批核心版本和一个已审批核心分配；配对卫星不是首期定版验收的阻塞项。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每个核心成员及组合至少完成连续 60 个交易日的前向模拟；系统稳定性验收覆盖至少 120 个交易日回放。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前向模拟期间不得修改历史推荐、成交、成本或 NAV；与同版本回放不一致时必须阻断。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不存在未解决严重风险、过期批次或血缘不一致。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sz w:val="22"/>
        </w:rPr>
        <w:t>Tushare 权限不足时可完成代码验收，但运营验收必须保持阻断。</w:t>
      </w:r>
    </w:p>
    <w:p>
      <w:pPr>
        <w:pStyle w:val="Heading1"/>
      </w:pPr>
      <w:r>
        <w:t>16. 固定实施顺序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必须完成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第一阶段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Tushare日线/PIT数据、Qlib数据集、指数增强、成本与正式回测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指数增强通过全部准入线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第二阶段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全市场行业中性多因子、组合风险与正式推荐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两个核心均通过并可生成可复算推荐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第三阶段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500万元统一模拟账户、订单成交、NAV、回撤、告警、恢复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连续60日模拟和120日回放通过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第四阶段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Swing、分钟均值回归和ML挑战者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逐个准入，不影响核心主线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第五阶段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配对/统计套利研究与假设性融券模拟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有明确借券假设；股票空腿默认不进入正式推荐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定版完成定义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当第三阶段验收通过时，系统已经是一套可真实运行、能辅助个人投资的中低频量化系统：它使用真实数据生成正式建议，并用完整模拟交易持续验证建议质量。第四、第五阶段属于能力扩展，不改变主系统是否成立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A：QMT 可选插件边界</w:t>
      </w:r>
    </w:p>
    <w:p>
      <w:r>
        <w:rPr>
          <w:rFonts w:ascii="Calibri" w:hAnsi="Calibri" w:eastAsia="Microsoft YaHei"/>
        </w:rPr>
        <w:t>QMT/券商网关保留为默认关闭的可选插件，不属于当前研究、回测、审批或模拟主线。启用插件需要另行产品批准、独立安全评审和验收；在此之前：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sz w:val="22"/>
        </w:rPr>
        <w:t>BROKER_FEATURE_ENABLED 默认且必须为 false。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sz w:val="22"/>
        </w:rPr>
        <w:t>主页面、计划任务、模拟批次和回放任务不得调用网关。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sz w:val="22"/>
        </w:rPr>
        <w:t>任何实盘环境、真实账户或真实委托均不受本方案授权。</w:t>
      </w:r>
    </w:p>
    <w:p>
      <w:pPr>
        <w:pStyle w:val="Heading1"/>
      </w:pPr>
      <w:r>
        <w:t>附录 B：外部规则与技术来源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Tushare A股日线行情：https://tushare.pro/document/1?doc_id=27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Tushare 历史分钟行情：https://tushare.pro/document/2?doc_id=370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财政部、税务总局证券交易印花税公告：https://www.mof.gov.cn/jrttts/202308/t20230828_3904235.htm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中国结算上海/深圳市场收费表：https://www.chinaclear.cn/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Qlib 官方仓库与文档：https://github.com/microsoft/qlib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RD-Agent 官方仓库：https://github.com/microsoft/rd-agent</w:t>
      </w:r>
    </w:p>
    <w:p>
      <w:r>
        <w:rPr>
          <w:rFonts w:ascii="Calibri" w:hAnsi="Calibri" w:eastAsia="Microsoft YaHei"/>
        </w:rPr>
        <w:t>外部链接只用于解释当前参数来源。系统运行时必须把实际采用的接口版本、权限证据、费率生效日和上游提交标识固化到不可变制品中。</w:t>
      </w:r>
    </w:p>
    <w:p>
      <w:pPr>
        <w:pStyle w:val="Heading1"/>
      </w:pPr>
      <w:r>
        <w:t>附录 C：修订记录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500"/>
        <w:gridCol w:w="1400"/>
        <w:gridCol w:w="546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日期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修订摘要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3.0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2026-07-16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定稿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明确500万元个人投资授权和除实盘外的完整范围；固定数据单位、复权与公司行动、费用与冲击、反过拟合、策略准入、推荐输出、模拟账本、暂停淘汰、60日模拟与分阶段验收。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2.0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2026-07-16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已取代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原位重整为 Qlib + RD-Agent 技术基准单主线；固定 Tushare、非实盘/非高频边界；定义双核心、配对卫星、统一模拟盘、核心/卫星分配与验收。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1.x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历史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已取代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原稿由 Git 历史保存，不再作为当前方案。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B6573"/>
        <w:sz w:val="17"/>
      </w:rPr>
      <w:t>QuantLab  ·  产品与验收技术基准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 w:eastAsia="Microsoft YaHei"/>
      </w:r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 w:val="0"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如何搭建自己的量化交易系统</dc:title>
  <dc:subject>个人中低频量化研究、推荐与模拟交易定稿</dc:subject>
  <dc:creator>QuantLab</dc:creator>
  <cp:keywords>Qlib, RD-Agent, Tushare, A股, 回测, 模拟盘</cp:keywords>
  <dc:description>Version 3.0 final product, strategy, risk and acceptance baseline</dc:description>
  <cp:lastModifiedBy/>
  <cp:revision>1</cp:revision>
  <dcterms:created xsi:type="dcterms:W3CDTF">2013-12-23T23:15:00Z</dcterms:created>
  <dcterms:modified xsi:type="dcterms:W3CDTF">2026-07-16T00:00:00Z</dcterms:modified>
  <cp:category/>
</cp:coreProperties>
</file>