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40" w:lineRule="exact"/>
        <w:ind w:firstLine="0"/>
        <w:jc w:val="left"/>
      </w:pPr>
      <w:r>
        <w:rPr>
          <w:rFonts w:ascii="DFKai-SB" w:cs="DFKai-SB" w:eastAsia="DFKai-SB" w:hAnsi="DFKai-SB"/>
          <w:b/>
          <w:bCs/>
          <w:sz w:val="24"/>
          <w:szCs w:val="24"/>
        </w:rPr>
        <w:t xml:space="preserve">第二章　文獻探討</w:t>
      </w:r>
    </w:p>
    <w:p>
      <w:pPr>
        <w:spacing w:after="120" w:before="0" w:line="240" w:lineRule="exact"/>
        <w:ind w:firstLine="480"/>
        <w:jc w:val="both"/>
      </w:pPr>
      <w:r>
        <w:rPr>
          <w:rFonts w:ascii="DFKai-SB" w:cs="DFKai-SB" w:eastAsia="DFKai-SB" w:hAnsi="DFKai-SB"/>
          <w:sz w:val="24"/>
          <w:szCs w:val="24"/>
        </w:rPr>
        <w:t xml:space="preserve">本章針對本研究主題「應用多智能體 AI 系統於股票投資分析」，就三個核心議題進行系統性文獻回顧：AI 應用於投資分析之發展（第 2.1 節）、多智能體系統架構於金融領域之應用（第 2.2 節），以及 DCF 估值模型與目標價準確性之實證研究（第 2.3 節）。本章最後並指出現有研究之缺口，以闡明本研究之學術貢獻。</w:t>
      </w:r>
    </w:p>
    <w:p>
      <w:pPr>
        <w:spacing w:after="120" w:before="240" w:line="240" w:lineRule="exact"/>
        <w:ind w:firstLine="0"/>
        <w:jc w:val="left"/>
      </w:pPr>
      <w:r>
        <w:rPr>
          <w:rFonts w:ascii="DFKai-SB" w:cs="DFKai-SB" w:eastAsia="DFKai-SB" w:hAnsi="DFKai-SB"/>
          <w:b/>
          <w:bCs/>
          <w:sz w:val="24"/>
          <w:szCs w:val="24"/>
        </w:rPr>
        <w:t xml:space="preserve">2.1　AI 於投資分析之應用</w:t>
      </w:r>
    </w:p>
    <w:p>
      <w:pPr>
        <w:spacing w:after="120" w:before="0" w:line="240" w:lineRule="exact"/>
        <w:ind w:firstLine="480"/>
        <w:jc w:val="both"/>
      </w:pPr>
      <w:r>
        <w:rPr>
          <w:rFonts w:ascii="DFKai-SB" w:cs="DFKai-SB" w:eastAsia="DFKai-SB" w:hAnsi="DFKai-SB"/>
          <w:sz w:val="24"/>
          <w:szCs w:val="24"/>
        </w:rPr>
        <w:t xml:space="preserve">人工智慧於金融投資領域之應用，已歷經從規則型系統到機器學習，再至大型語言模型（LLM）的三個典範轉移階段。Ferreira 等人（2021）透過系統性回顧 1995 至 2019 年間逾 2,326 篇文獻，歸納出 AI 在股市投資中的三大應用類型：投資組合優化、價格預測與情緒分析。其核心發現為，組合式方法（如 LSTM 結合情緒分析）普遍優於單一技術，此結論為本研究採用多智能體架構提供了直接的方法論支撐。</w:t>
      </w:r>
    </w:p>
    <w:p>
      <w:pPr>
        <w:spacing w:after="120" w:before="0" w:line="240" w:lineRule="exact"/>
        <w:ind w:firstLine="480"/>
        <w:jc w:val="both"/>
      </w:pPr>
      <w:r>
        <w:rPr>
          <w:rFonts w:ascii="DFKai-SB" w:cs="DFKai-SB" w:eastAsia="DFKai-SB" w:hAnsi="DFKai-SB"/>
          <w:sz w:val="24"/>
          <w:szCs w:val="24"/>
        </w:rPr>
        <w:t xml:space="preserve">在機器學習技術的分類與比較方面，Strader 等人（2020）對過去二十年 ML 股市預測研究進行四類整理：人工神經網路（ANN）、支持向量機（SVM）、遺傳演算法及混合方法，發現各技術有其最適應用情境，如 ANN 適合數值預測、SVM 較適合趨勢分類。該研究同時指出，現有研究普遍缺乏跨市場、跨時期的泛化驗證，此一批評對本研究之研究設計具有重要啟示。Rahmani 等人（2023）則進一步提出 AI 在經濟領域的綜合分類體系，指出神經網路（35%）與機器學習（27%）是最常見技術，並強調結合多種 AI 方法可提升預測可信度，此與本研究整合多類分析模組的設計理念高度吻合。</w:t>
      </w:r>
    </w:p>
    <w:p>
      <w:pPr>
        <w:spacing w:after="120" w:before="0" w:line="240" w:lineRule="exact"/>
        <w:ind w:firstLine="480"/>
        <w:jc w:val="both"/>
      </w:pPr>
      <w:r>
        <w:rPr>
          <w:rFonts w:ascii="DFKai-SB" w:cs="DFKai-SB" w:eastAsia="DFKai-SB" w:hAnsi="DFKai-SB"/>
          <w:sz w:val="24"/>
          <w:szCs w:val="24"/>
        </w:rPr>
        <w:t xml:space="preserve">自然語言處理（NLP）技術的引入，使非結構化文本成為投資分析的重要資料來源。李宗勳等人（2024）以 MAMAA 六家科技巨頭法說會逐字稿為語料，運用 QDA Miner 與 WordStat 進行情感分析，發現法說會中的高頻詞彙能反映公司核心策略重心，且情緒訊號與法說會前後之股價走勢存在關聯。其所建立的財務、技術、展望三維標籤框架，可直接對應本研究多智能體系統之分析維度，具有重要的方法論參照價值。</w:t>
      </w:r>
    </w:p>
    <w:p>
      <w:pPr>
        <w:spacing w:after="120" w:before="0" w:line="240" w:lineRule="exact"/>
        <w:ind w:firstLine="480"/>
        <w:jc w:val="both"/>
      </w:pPr>
      <w:r>
        <w:rPr>
          <w:rFonts w:ascii="DFKai-SB" w:cs="DFKai-SB" w:eastAsia="DFKai-SB" w:hAnsi="DFKai-SB"/>
          <w:sz w:val="24"/>
          <w:szCs w:val="24"/>
        </w:rPr>
        <w:t xml:space="preserve">Ajuwon 等人（2025）則從更宏觀的視角，梳理 AI（含機器學習、NLP、強化學習）如何重塑投資策略制定、信用風險評估與法規遵循三大領域，指出 AI 已從自動化工具演進為金融機構的策略性基礎設施。該研究尤其強調可解釋 AI（XAI）的重要性，呼籲在系統設計中說明各模組的推理邏輯，以確保報告的可信度與實務可用性；此觀點對本研究在評級報告設計上提供了直接的規範性指引。Islam 與 Mita（2026）則以 FinTech 自動化為切入點，實證發現人機適配程度是影響自動化錯誤減少最強的預測因子，強調錯誤降低是社會技術系統的整體成果，而非單純技術問題，此發現對本研究之系統可靠性設計具有參考意義。</w:t>
      </w:r>
    </w:p>
    <w:p>
      <w:pPr>
        <w:spacing w:after="120" w:before="0" w:line="240" w:lineRule="exact"/>
        <w:ind w:firstLine="480"/>
        <w:jc w:val="both"/>
      </w:pPr>
      <w:r>
        <w:rPr>
          <w:rFonts w:ascii="DFKai-SB" w:cs="DFKai-SB" w:eastAsia="DFKai-SB" w:hAnsi="DFKai-SB"/>
          <w:sz w:val="24"/>
          <w:szCs w:val="24"/>
        </w:rPr>
        <w:t xml:space="preserve">綜上，現有研究雖已建立 AI 投資分析的方法論基礎，並確認組合式多元方法之優越性，然而多數研究仍侷限於單一技術或單一資料類型，尚未系統性地探討如何將基本面分析、總體經濟分析與 NLP 情感分析有機整合，並以自動化流程輸出可供實務使用之投資評級報告。</w:t>
      </w:r>
    </w:p>
    <w:p>
      <w:pPr>
        <w:spacing w:after="120" w:before="240" w:line="240" w:lineRule="exact"/>
        <w:ind w:firstLine="0"/>
        <w:jc w:val="left"/>
      </w:pPr>
      <w:r>
        <w:rPr>
          <w:rFonts w:ascii="DFKai-SB" w:cs="DFKai-SB" w:eastAsia="DFKai-SB" w:hAnsi="DFKai-SB"/>
          <w:b/>
          <w:bCs/>
          <w:sz w:val="24"/>
          <w:szCs w:val="24"/>
        </w:rPr>
        <w:t xml:space="preserve">2.2　多智能體系統於金融領域之應用</w:t>
      </w:r>
    </w:p>
    <w:p>
      <w:pPr>
        <w:spacing w:after="120" w:before="0" w:line="240" w:lineRule="exact"/>
        <w:ind w:firstLine="480"/>
        <w:jc w:val="both"/>
      </w:pPr>
      <w:r>
        <w:rPr>
          <w:rFonts w:ascii="DFKai-SB" w:cs="DFKai-SB" w:eastAsia="DFKai-SB" w:hAnsi="DFKai-SB"/>
          <w:sz w:val="24"/>
          <w:szCs w:val="24"/>
        </w:rPr>
        <w:t xml:space="preserve">多智能體系統（Multi-Agent System, MAS）透過將複雜任務分解給具備不同功能的自主智能體協同處理，近年來在金融決策領域展現出顯著的應用潛力。隨著大型語言模型（LLM）能力的快速躍升，LLM 驅動的多智能體框架逐漸成為金融 AI 研究的前沿方向。</w:t>
      </w:r>
    </w:p>
    <w:p>
      <w:pPr>
        <w:spacing w:after="120" w:before="0" w:line="240" w:lineRule="exact"/>
        <w:ind w:firstLine="480"/>
        <w:jc w:val="both"/>
      </w:pPr>
      <w:r>
        <w:rPr>
          <w:rFonts w:ascii="DFKai-SB" w:cs="DFKai-SB" w:eastAsia="DFKai-SB" w:hAnsi="DFKai-SB"/>
          <w:sz w:val="24"/>
          <w:szCs w:val="24"/>
        </w:rPr>
        <w:t xml:space="preserve">Li 等人（2023）提出的 TradingGPT 框架，是 LLM 多智能體金融應用的早期代表性研究之一。該框架將智能體記憶分為短期（每日市場訊息）、中期（季度財報見解）、長期（總體經濟變數）三層，並設計辯論機制讓風險趨避、風險中立、風險追求等不同角色的智能體相互交流，以提升交易決策的穩健性。其分層記憶架構與角色分工邏輯，對本研究結合基本面與總經分析的多智能體評級報告生成流程具有直接的設計啟示，特別是將總經資訊存入長期記憶、個股訊息存入短期記憶的分工思路，與本研究的系統架構設計高度對應。</w:t>
      </w:r>
    </w:p>
    <w:p>
      <w:pPr>
        <w:spacing w:after="120" w:before="0" w:line="240" w:lineRule="exact"/>
        <w:ind w:firstLine="480"/>
        <w:jc w:val="both"/>
      </w:pPr>
      <w:r>
        <w:rPr>
          <w:rFonts w:ascii="DFKai-SB" w:cs="DFKai-SB" w:eastAsia="DFKai-SB" w:hAnsi="DFKai-SB"/>
          <w:sz w:val="24"/>
          <w:szCs w:val="24"/>
        </w:rPr>
        <w:t xml:space="preserve">Yu 等人（2024）提出的 FINCON 框架，則代表 LLM 多智能體金融系統設計的最新進展。FINCON 仿照真實投資公司的組織架構，採用「經理人—分析師」層級設計：各分析師智能體專責處理單一模態資料（財經新聞、財務報告、法說會音訊等），再由經理人智能體彙整各方分析後做出最終交易決策。該系統創新引入雙層風險控制機制，回合內以條件風險值（CVaR）即時偵測市場風險，回合間則透過概念性語言強化學習（CVRF）持續更新智能體的投資信念，實驗結果顯示在單股交易與投資組合管理兩項任務上均顯著優於現有基準模型。FINCON 的架構與本研究「多智能體 AI 系統分析股票基本面與總體經濟、輸出投資評級報告」的研究設計高度同構，可作為本研究系統設計的核心參照藍本。</w:t>
      </w:r>
    </w:p>
    <w:p>
      <w:pPr>
        <w:spacing w:after="120" w:before="0" w:line="240" w:lineRule="exact"/>
        <w:ind w:firstLine="480"/>
        <w:jc w:val="both"/>
      </w:pPr>
      <w:r>
        <w:rPr>
          <w:rFonts w:ascii="DFKai-SB" w:cs="DFKai-SB" w:eastAsia="DFKai-SB" w:hAnsi="DFKai-SB"/>
          <w:sz w:val="24"/>
          <w:szCs w:val="24"/>
        </w:rPr>
        <w:t xml:space="preserve">Islam 與 Mita（2026）在 FinTech 自動化的研究脈絡中，進一步提醒自動化系統的可靠性不僅取決於技術精密度，更在於「自動化強度」與「驗證強度」的平衡設計。此一觀點揭示，本研究的多智能體系統在追求自動化效率的同時，仍需建立適切的人機協作介面與輸出驗證機制。</w:t>
      </w:r>
    </w:p>
    <w:p>
      <w:pPr>
        <w:spacing w:after="120" w:before="0" w:line="240" w:lineRule="exact"/>
        <w:ind w:firstLine="480"/>
        <w:jc w:val="both"/>
      </w:pPr>
      <w:r>
        <w:rPr>
          <w:rFonts w:ascii="DFKai-SB" w:cs="DFKai-SB" w:eastAsia="DFKai-SB" w:hAnsi="DFKai-SB"/>
          <w:sz w:val="24"/>
          <w:szCs w:val="24"/>
        </w:rPr>
        <w:t xml:space="preserve">現有 MAS 金融研究雖已展示多智能體架構在交易決策上的優越性，但多數研究聚焦於短線交易策略（如日頻或分鐘級交易訊號），鮮少探討如何將多智能體系統應用於結合 DCF 估值等基本面分析工具，生成中長期導向之股票投資評級報告。此一研究空白，正是本研究的核心問題意識所在。</w:t>
      </w:r>
    </w:p>
    <w:p>
      <w:pPr>
        <w:spacing w:after="120" w:before="240" w:line="240" w:lineRule="exact"/>
        <w:ind w:firstLine="0"/>
        <w:jc w:val="left"/>
      </w:pPr>
      <w:r>
        <w:rPr>
          <w:rFonts w:ascii="DFKai-SB" w:cs="DFKai-SB" w:eastAsia="DFKai-SB" w:hAnsi="DFKai-SB"/>
          <w:b/>
          <w:bCs/>
          <w:sz w:val="24"/>
          <w:szCs w:val="24"/>
        </w:rPr>
        <w:t xml:space="preserve">2.3　DCF 估值模型與投資評級之實證研究</w:t>
      </w:r>
    </w:p>
    <w:p>
      <w:pPr>
        <w:spacing w:after="120" w:before="0" w:line="240" w:lineRule="exact"/>
        <w:ind w:firstLine="480"/>
        <w:jc w:val="both"/>
      </w:pPr>
      <w:r>
        <w:rPr>
          <w:rFonts w:ascii="DFKai-SB" w:cs="DFKai-SB" w:eastAsia="DFKai-SB" w:hAnsi="DFKai-SB"/>
          <w:sz w:val="24"/>
          <w:szCs w:val="24"/>
        </w:rPr>
        <w:t xml:space="preserve">現金流折現模型（Discounted Cash Flow, DCF）是股票投資分析中最具理論基礎的估值工具之一，其透過預測企業未來自由現金流並以適當折現率換算為現值，以系統性方法估算企業內在價值。然而 DCF 模型在實務應用中亦面臨諸多挑戰，包括現金流預測的不確定性、折現率選取的主觀性，以及模型結果對假設值的高度敏感性。</w:t>
      </w:r>
    </w:p>
    <w:p>
      <w:pPr>
        <w:spacing w:after="120" w:before="0" w:line="240" w:lineRule="exact"/>
        <w:ind w:firstLine="480"/>
        <w:jc w:val="both"/>
      </w:pPr>
      <w:r>
        <w:rPr>
          <w:rFonts w:ascii="DFKai-SB" w:cs="DFKai-SB" w:eastAsia="DFKai-SB" w:hAnsi="DFKai-SB"/>
          <w:sz w:val="24"/>
          <w:szCs w:val="24"/>
        </w:rPr>
        <w:t xml:space="preserve">Frensidy 等人（2020）分析 99 份印尼券商研究報告後發現，P/E 倍數是被提及次數最多的估值工具，但以現金流為基礎的 DCF 才是分析師用來直接產出目標股價的最主流模型，且現金流模型的目標價準確率在零誤差容忍下略優於應計基礎模型。進一步的卡方檢定顯示，同時運用現金流與應計基礎（如 P/E）兩類模型，在允許 10% 誤差容忍的條件下能顯著提升目標價準確率，此「雙模型並用優於單一模型」的結論直接呼應本研究讓不同智能體各司其職、最終整合輸出的設計邏輯。</w:t>
      </w:r>
    </w:p>
    <w:p>
      <w:pPr>
        <w:spacing w:after="120" w:before="0" w:line="240" w:lineRule="exact"/>
        <w:ind w:firstLine="480"/>
        <w:jc w:val="both"/>
      </w:pPr>
      <w:r>
        <w:rPr>
          <w:rFonts w:ascii="DFKai-SB" w:cs="DFKai-SB" w:eastAsia="DFKai-SB" w:hAnsi="DFKai-SB"/>
          <w:sz w:val="24"/>
          <w:szCs w:val="24"/>
        </w:rPr>
        <w:t xml:space="preserve">Huang 等人（2021）以 1997 至 2017 年間逾 56 萬份分析師報告為樣本，探討分析師選用 DCF 模型的情境條件。研究發現，分析師在面對盈餘品質較差或經營風險較高的企業時，更傾向採用 DCF 模型，且會在報告中投入更多現金流與折現率的詳細討論。市場對以 DCF 為基礎之目標價調整的反應亦顯著較強，尤其在不確定性高且伴隨詳細估值討論時更為明顯。此一發現對本研究具有雙重意涵：其一，本研究之多智能體系統可依個股盈餘品質或風險程度動態決定是否啟用 DCF 模組，以更貼近真實分析師行為；其二，DCF 相關的現金流與折現率資訊在投資評級報告中具有顯著的資訊含量，應作為本研究系統輸出報告之核心內容要素。</w:t>
      </w:r>
    </w:p>
    <w:p>
      <w:pPr>
        <w:spacing w:after="120" w:before="0" w:line="240" w:lineRule="exact"/>
        <w:ind w:firstLine="480"/>
        <w:jc w:val="both"/>
      </w:pPr>
      <w:r>
        <w:rPr>
          <w:rFonts w:ascii="DFKai-SB" w:cs="DFKai-SB" w:eastAsia="DFKai-SB" w:hAnsi="DFKai-SB"/>
          <w:sz w:val="24"/>
          <w:szCs w:val="24"/>
        </w:rPr>
        <w:t xml:space="preserve">Ajuwon 等人（2025）亦指出，AI 在投資分析中的廣泛應用已使傳統估值工具的計算流程得以自動化，但如何確保自動化生成的估值結果具備可解釋性與可問責性，仍是當前最重要的研究與實務挑戰。此一觀點提示本研究在設計 DCF 估值智能體時，除追求計算準確性外，亦應注重估值假設的透明呈現，使報告使用者能理解並驗證估值結果的合理性。</w:t>
      </w:r>
    </w:p>
    <w:p>
      <w:pPr>
        <w:spacing w:after="120" w:before="0" w:line="240" w:lineRule="exact"/>
        <w:ind w:firstLine="480"/>
        <w:jc w:val="both"/>
      </w:pPr>
      <w:r>
        <w:rPr>
          <w:rFonts w:ascii="DFKai-SB" w:cs="DFKai-SB" w:eastAsia="DFKai-SB" w:hAnsi="DFKai-SB"/>
          <w:sz w:val="24"/>
          <w:szCs w:val="24"/>
        </w:rPr>
        <w:t xml:space="preserve">綜合以上文獻可知，DCF 與相對估值（P/E）的組合是實務上目標價準確率最高的策略配置，且 DCF 模型的運用應依個股特性動態調整。然而現有研究多以人工分析師為研究主體，鮮少探討如何以 AI 系統自動執行此一動態估值邏輯，並將估值結果整合至多智能體的協作輸出流程。</w:t>
      </w:r>
    </w:p>
    <w:p>
      <w:pPr>
        <w:spacing w:after="120" w:before="240" w:line="240" w:lineRule="exact"/>
        <w:ind w:firstLine="0"/>
        <w:jc w:val="left"/>
      </w:pPr>
      <w:r>
        <w:rPr>
          <w:rFonts w:ascii="DFKai-SB" w:cs="DFKai-SB" w:eastAsia="DFKai-SB" w:hAnsi="DFKai-SB"/>
          <w:b/>
          <w:bCs/>
          <w:sz w:val="24"/>
          <w:szCs w:val="24"/>
        </w:rPr>
        <w:t xml:space="preserve">2.4　研究缺口與本研究之貢獻</w:t>
      </w:r>
    </w:p>
    <w:p>
      <w:pPr>
        <w:spacing w:after="120" w:before="0" w:line="240" w:lineRule="exact"/>
        <w:ind w:firstLine="480"/>
        <w:jc w:val="both"/>
      </w:pPr>
      <w:r>
        <w:rPr>
          <w:rFonts w:ascii="DFKai-SB" w:cs="DFKai-SB" w:eastAsia="DFKai-SB" w:hAnsi="DFKai-SB"/>
          <w:sz w:val="24"/>
          <w:szCs w:val="24"/>
        </w:rPr>
        <w:t xml:space="preserve">綜觀前述三個面向之文獻，可歸納出以下三項主要研究缺口，亦即本研究之核心學術貢獻所在：</w:t>
      </w:r>
    </w:p>
    <w:p>
      <w:pPr>
        <w:spacing w:after="120" w:before="0" w:line="240" w:lineRule="exact"/>
        <w:ind w:firstLine="480"/>
        <w:jc w:val="both"/>
      </w:pPr>
      <w:r>
        <w:rPr>
          <w:rFonts w:ascii="DFKai-SB" w:cs="DFKai-SB" w:eastAsia="DFKai-SB" w:hAnsi="DFKai-SB"/>
          <w:sz w:val="24"/>
          <w:szCs w:val="24"/>
        </w:rPr>
        <w:t xml:space="preserve">第一，整合深度不足。現有研究多聚焦於單一分析模組，或各自探討 NLP 情感分析、ML 價格預測、DCF 估值等個別技術，尚缺乏一個能有機整合基本面分析、總體經濟分析與情感分析的完整 AI 投資分析系統。本研究提出之多智能體架構，正是為填補此一整合缺口而設計，不同功能之智能體分工協作，最終由統整智能體輸出兼顧深度與廣度的投資評級報告。</w:t>
      </w:r>
    </w:p>
    <w:p>
      <w:pPr>
        <w:spacing w:after="120" w:before="0" w:line="240" w:lineRule="exact"/>
        <w:ind w:firstLine="480"/>
        <w:jc w:val="both"/>
      </w:pPr>
      <w:r>
        <w:rPr>
          <w:rFonts w:ascii="DFKai-SB" w:cs="DFKai-SB" w:eastAsia="DFKai-SB" w:hAnsi="DFKai-SB"/>
          <w:sz w:val="24"/>
          <w:szCs w:val="24"/>
        </w:rPr>
        <w:t xml:space="preserve">第二，輸出形式的實務落差。現有 LLM 多智能體金融研究（如 TradingGPT、FINCON）主要以交易決策（買/賣/持有訊號）為輸出目標，較少探討如何產出格式規範、具備詳細估值依據與風險說明、可直接供投資人或分析師使用的完整投資評級報告。本研究將系統輸出目標設定為結構化投資評級報告，以提升研究成果的實務可用性。</w:t>
      </w:r>
    </w:p>
    <w:p>
      <w:pPr>
        <w:spacing w:after="120" w:before="0" w:line="240" w:lineRule="exact"/>
        <w:ind w:firstLine="480"/>
        <w:jc w:val="both"/>
      </w:pPr>
      <w:r>
        <w:rPr>
          <w:rFonts w:ascii="DFKai-SB" w:cs="DFKai-SB" w:eastAsia="DFKai-SB" w:hAnsi="DFKai-SB"/>
          <w:sz w:val="24"/>
          <w:szCs w:val="24"/>
        </w:rPr>
        <w:t xml:space="preserve">第三，DCF 估值的自動化落差。現有 DCF 研究（Frensidy et al., 2020; Huang et al., 2021）雖確認了 DCF 的實務效能，但均以人工分析師為研究對象，尚未探討如何以 AI 智能體自動執行 DCF 估值，並依個股風險特性動態調整估值模型選用邏輯。本研究設計具備 DCF 估值能力的基本面分析智能體，並嘗試引入動態模型選用機制，以彌合人工估值實踐與 AI 自動化之間的落差，為多智能體 AI 系統在股票投資分析的應用提供新的實踐框架與學術參考。</w:t>
      </w:r>
    </w:p>
    <w:p>
      <w:pPr>
        <w:spacing w:after="120" w:before="240" w:line="240" w:lineRule="exact"/>
        <w:ind w:firstLine="0"/>
        <w:jc w:val="left"/>
      </w:pPr>
      <w:r>
        <w:rPr>
          <w:rFonts w:ascii="DFKai-SB" w:cs="DFKai-SB" w:eastAsia="DFKai-SB" w:hAnsi="DFKai-SB"/>
          <w:b/>
          <w:bCs/>
          <w:sz w:val="24"/>
          <w:szCs w:val="24"/>
        </w:rPr>
        <w:t xml:space="preserve">參考文獻</w:t>
      </w:r>
    </w:p>
    <w:p>
      <w:pPr>
        <w:spacing w:after="60" w:before="0" w:line="240" w:lineRule="exact"/>
        <w:ind w:left="480" w:hanging="480"/>
        <w:jc w:val="both"/>
      </w:pPr>
      <w:r>
        <w:rPr>
          <w:rFonts w:ascii="DFKai-SB" w:cs="DFKai-SB" w:eastAsia="DFKai-SB" w:hAnsi="DFKai-SB"/>
          <w:sz w:val="24"/>
          <w:szCs w:val="24"/>
        </w:rPr>
        <w:t xml:space="preserve">Ajuwon, A., Oladuji, T. J., Akintobi, A. O., &amp; Onifade, O. (2025). AI-powered transformations in financial services: Automation and innovation in investment and risk models. Engineering and Technology Journal, 10(6), 5397–5415. https://doi.org/10.47191/etj/v10i06.12</w:t>
      </w:r>
    </w:p>
    <w:p>
      <w:pPr>
        <w:spacing w:after="60" w:before="0" w:line="240" w:lineRule="exact"/>
        <w:ind w:left="480" w:hanging="480"/>
        <w:jc w:val="both"/>
      </w:pPr>
      <w:r>
        <w:rPr>
          <w:rFonts w:ascii="DFKai-SB" w:cs="DFKai-SB" w:eastAsia="DFKai-SB" w:hAnsi="DFKai-SB"/>
          <w:sz w:val="24"/>
          <w:szCs w:val="24"/>
        </w:rPr>
        <w:t xml:space="preserve">Ferreira, F. G. D. C., Gandomi, A. H., &amp; Cardoso, R. T. N. (2021). Artificial intelligence applied to stock market trading: A review. IEEE Access, 9, 30898–30917. https://doi.org/10.1109/ACCESS.2021.3058133</w:t>
      </w:r>
    </w:p>
    <w:p>
      <w:pPr>
        <w:spacing w:after="60" w:before="0" w:line="240" w:lineRule="exact"/>
        <w:ind w:left="480" w:hanging="480"/>
        <w:jc w:val="both"/>
      </w:pPr>
      <w:r>
        <w:rPr>
          <w:rFonts w:ascii="DFKai-SB" w:cs="DFKai-SB" w:eastAsia="DFKai-SB" w:hAnsi="DFKai-SB"/>
          <w:sz w:val="24"/>
          <w:szCs w:val="24"/>
        </w:rPr>
        <w:t xml:space="preserve">Frensidy, B., Pelealu, R. J., &amp; Robiyanto, R. (2020). Analysis of equity valuation models and target price accuracy: An evidence from analyst reports in Indonesia. SAGE Open, 10(4), 1–13. https://doi.org/10.1177/2158244020949507</w:t>
      </w:r>
    </w:p>
    <w:p>
      <w:pPr>
        <w:spacing w:after="60" w:before="0" w:line="240" w:lineRule="exact"/>
        <w:ind w:left="480" w:hanging="480"/>
        <w:jc w:val="both"/>
      </w:pPr>
      <w:r>
        <w:rPr>
          <w:rFonts w:ascii="DFKai-SB" w:cs="DFKai-SB" w:eastAsia="DFKai-SB" w:hAnsi="DFKai-SB"/>
          <w:sz w:val="24"/>
          <w:szCs w:val="24"/>
        </w:rPr>
        <w:t xml:space="preserve">Huang, S., Tan, H., Wang, X., &amp; Yu, C. (2021). Valuation uncertainty and analysts' use of DCF models. Review of Accounting Studies. https://ssrn.com/abstract=3274391</w:t>
      </w:r>
    </w:p>
    <w:p>
      <w:pPr>
        <w:spacing w:after="60" w:before="0" w:line="240" w:lineRule="exact"/>
        <w:ind w:left="480" w:hanging="480"/>
        <w:jc w:val="both"/>
      </w:pPr>
      <w:r>
        <w:rPr>
          <w:rFonts w:ascii="DFKai-SB" w:cs="DFKai-SB" w:eastAsia="DFKai-SB" w:hAnsi="DFKai-SB"/>
          <w:sz w:val="24"/>
          <w:szCs w:val="24"/>
        </w:rPr>
        <w:t xml:space="preserve">Islam, M. M., &amp; Mita, T. A. B. (2026). Role of FinTech accounting automation in minimizing manual errors and supporting digital marketing decision-making in financial operations. American Journal of Advanced Technology and Engineering Solutions, 6(1), 90–127. https://doi.org/10.63125/8f0g1d59</w:t>
      </w:r>
    </w:p>
    <w:p>
      <w:pPr>
        <w:spacing w:after="60" w:before="0" w:line="240" w:lineRule="exact"/>
        <w:ind w:left="480" w:hanging="480"/>
        <w:jc w:val="both"/>
      </w:pPr>
      <w:r>
        <w:rPr>
          <w:rFonts w:ascii="DFKai-SB" w:cs="DFKai-SB" w:eastAsia="DFKai-SB" w:hAnsi="DFKai-SB"/>
          <w:sz w:val="24"/>
          <w:szCs w:val="24"/>
        </w:rPr>
        <w:t xml:space="preserve">Li, Y., Yu, Y., Li, H., Chen, Z., &amp; Khashanah, K. (2023). TradingGPT: Multi-agent system with layered memory and distinct characters for enhanced financial trading performance. arXiv preprint arXiv:2309.03736. https://arxiv.org/abs/2309.03736</w:t>
      </w:r>
    </w:p>
    <w:p>
      <w:pPr>
        <w:spacing w:after="60" w:before="0" w:line="240" w:lineRule="exact"/>
        <w:ind w:left="480" w:hanging="480"/>
        <w:jc w:val="both"/>
      </w:pPr>
      <w:r>
        <w:rPr>
          <w:rFonts w:ascii="DFKai-SB" w:cs="DFKai-SB" w:eastAsia="DFKai-SB" w:hAnsi="DFKai-SB"/>
          <w:sz w:val="24"/>
          <w:szCs w:val="24"/>
        </w:rPr>
        <w:t xml:space="preserve">Rahmani, A. M., Rezazadeh, B., Haghparast, M., Chang, W.-C., &amp; Ting, S. G. (2023). Applications of artificial intelligence in the economy, including applications in stock trading, market analysis, and risk management. IEEE Access, 11, 80769–80793. https://doi.org/10.1109/ACCESS.2023.3300036</w:t>
      </w:r>
    </w:p>
    <w:p>
      <w:pPr>
        <w:spacing w:after="60" w:before="0" w:line="240" w:lineRule="exact"/>
        <w:ind w:left="480" w:hanging="480"/>
        <w:jc w:val="both"/>
      </w:pPr>
      <w:r>
        <w:rPr>
          <w:rFonts w:ascii="DFKai-SB" w:cs="DFKai-SB" w:eastAsia="DFKai-SB" w:hAnsi="DFKai-SB"/>
          <w:sz w:val="24"/>
          <w:szCs w:val="24"/>
        </w:rPr>
        <w:t xml:space="preserve">Strader, T. J., Rozycki, J. J., Root, T. H., &amp; Huang, Y.-H. J. (2020). Machine learning stock market prediction studies: Review and research directions. Journal of International Technology and Information Management, 28(4), 63–83. https://doi.org/10.58729/1941-6679.1435</w:t>
      </w:r>
    </w:p>
    <w:p>
      <w:pPr>
        <w:spacing w:after="60" w:before="0" w:line="240" w:lineRule="exact"/>
        <w:ind w:left="480" w:hanging="480"/>
        <w:jc w:val="both"/>
      </w:pPr>
      <w:r>
        <w:rPr>
          <w:rFonts w:ascii="DFKai-SB" w:cs="DFKai-SB" w:eastAsia="DFKai-SB" w:hAnsi="DFKai-SB"/>
          <w:sz w:val="24"/>
          <w:szCs w:val="24"/>
        </w:rPr>
        <w:t xml:space="preserve">Yu, Y., Yao, Z., Li, H., Deng, Z., Jiang, Y., Cao, Y., Chen, Z., Suchow, J. W., Cui, Z., Liu, R., Xu, Z., Zhang, D., Subbalakshmi, K., Xiong, G., He, Y., Huang, J., Li, D., &amp; Xie, Q. (2024). FINCON: A synthesized LLM multi-agent system with conceptual verbal reinforcement for enhanced financial decision making. Advances in Neural Information Processing Systems, 37 (NeurIPS 2024).</w:t>
      </w:r>
    </w:p>
    <w:p>
      <w:pPr>
        <w:spacing w:after="60" w:before="0" w:line="240" w:lineRule="exact"/>
        <w:ind w:left="480" w:hanging="480"/>
        <w:jc w:val="both"/>
      </w:pPr>
      <w:r>
        <w:rPr>
          <w:rFonts w:ascii="DFKai-SB" w:cs="DFKai-SB" w:eastAsia="DFKai-SB" w:hAnsi="DFKai-SB"/>
          <w:sz w:val="24"/>
          <w:szCs w:val="24"/>
        </w:rPr>
        <w:t xml:space="preserve">李宗勳、吳雅卉、吳歷其、趙芊榛、林祺峯、林珞瓔（2024）。自然語言情感分析：以法說會為基礎〔財金實務專題〕。致理科技大學財務金融系。</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FKai-SB" w:cs="DFKai-SB" w:eastAsia="DFKai-SB" w:hAnsi="DFKai-S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2026-06-09T15:50:38.417Z</dcterms:created>
  <dcterms:modified xsi:type="dcterms:W3CDTF">2026-06-09T15:50:38.417Z</dcterms:modified>
</cp:coreProperties>
</file>

<file path=docProps/custom.xml><?xml version="1.0" encoding="utf-8"?>
<Properties xmlns="http://schemas.openxmlformats.org/officeDocument/2006/custom-properties" xmlns:vt="http://schemas.openxmlformats.org/officeDocument/2006/docPropsVTypes"/>
</file>