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Федеральное государственное бюджетное образовательное учреждение высшего образования</w:t>
        <w:br/>
        <w:t>Уфимский университет науки и технологий</w:t>
      </w:r>
    </w:p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Отчёт по лабораторной работе № 3</w:t>
      </w:r>
    </w:p>
    <w:p>
      <w:pPr>
        <w:pStyle w:val="Normal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По дисциплине «Теория автоматов»</w:t>
      </w:r>
    </w:p>
    <w:p>
      <w:pPr>
        <w:pStyle w:val="Normal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Тема: Синтез микропрограммного автомата</w:t>
      </w:r>
    </w:p>
    <w:p>
      <w:pPr>
        <w:pStyle w:val="Normal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Вариант: 6</w:t>
      </w:r>
    </w:p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righ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Выполнили ст. гр. ИВТ-ПО-301Б</w:t>
      </w:r>
    </w:p>
    <w:p>
      <w:pPr>
        <w:pStyle w:val="Normal"/>
        <w:jc w:val="righ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Кумушбаева Г. А.</w:t>
      </w:r>
    </w:p>
    <w:p>
      <w:pPr>
        <w:pStyle w:val="Normal"/>
        <w:jc w:val="righ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Газизова Д.</w:t>
      </w:r>
    </w:p>
    <w:p>
      <w:pPr>
        <w:pStyle w:val="Normal"/>
        <w:jc w:val="righ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Гиндуллин И.</w:t>
      </w:r>
    </w:p>
    <w:p>
      <w:pPr>
        <w:pStyle w:val="Normal"/>
        <w:jc w:val="righ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Нигматуллин Д.</w:t>
      </w:r>
    </w:p>
    <w:p>
      <w:pPr>
        <w:pStyle w:val="Normal"/>
        <w:jc w:val="righ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Проверил:  </w:t>
      </w:r>
    </w:p>
    <w:p>
      <w:pPr>
        <w:pStyle w:val="Normal"/>
        <w:jc w:val="righ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Кандидат технических наук, доцент кафедры ВТиЗИ</w:t>
      </w:r>
    </w:p>
    <w:p>
      <w:pPr>
        <w:pStyle w:val="Normal"/>
        <w:jc w:val="right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>Сибагатуллин Р. Р.</w:t>
      </w:r>
    </w:p>
    <w:p>
      <w:pPr>
        <w:pStyle w:val="Normal"/>
        <w:jc w:val="center"/>
        <w:rPr>
          <w:rFonts w:ascii="Times New Roman" w:hAnsi="Times New Roman" w:cs="Times New Roman"/>
          <w:b w:val="false"/>
          <w:bCs w:val="false"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</w:r>
    </w:p>
    <w:p>
      <w:pPr>
        <w:pStyle w:val="Normal"/>
        <w:jc w:val="center"/>
        <w:rPr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iCs/>
          <w:sz w:val="28"/>
          <w:szCs w:val="28"/>
        </w:rPr>
        <w:t xml:space="preserve">Уфа 2025 </w:t>
      </w:r>
      <w:r>
        <w:br w:type="page"/>
      </w:r>
    </w:p>
    <w:p>
      <w:pPr>
        <w:pStyle w:val="Heading3"/>
        <w:spacing w:before="0" w:after="80"/>
        <w:jc w:val="left"/>
        <w:rPr>
          <w:rFonts w:ascii="Times New Roman" w:hAnsi="Times New Roman" w:eastAsia="Aptos" w:cs="Times New Roman"/>
          <w:color w:val="auto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/>
          <w:b/>
          <w:bCs/>
          <w:color w:val="auto"/>
          <w:sz w:val="28"/>
          <w:szCs w:val="28"/>
          <w:lang w:val="en-US"/>
        </w:rPr>
        <w:t>1. Цель работы</w:t>
      </w:r>
      <w:r>
        <w:rPr>
          <w:rFonts w:eastAsia="Aptos" w:cs="Times New Roman" w:ascii="Times New Roman" w:hAnsi="Times New Roman"/>
          <w:b/>
          <w:bCs/>
          <w:color w:val="auto"/>
          <w:sz w:val="28"/>
          <w:szCs w:val="28"/>
          <w:lang w:val="en-US"/>
        </w:rPr>
        <w:t xml:space="preserve"> </w:t>
      </w:r>
    </w:p>
    <w:p>
      <w:pPr>
        <w:pStyle w:val="BodyText"/>
        <w:spacing w:lineRule="auto" w:line="278" w:before="0" w:after="16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Изучение методов абстрактного и структурного синтеза микропрограммных автоматов.</w:t>
        <w:br/>
        <w:t xml:space="preserve">Синтез структурной схемы автомата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S7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(автомат Мура), эквивалентного автомату Мили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S6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, с использованием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Т-триггеров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в качестве аппаратуры памяти (АП). </w:t>
      </w:r>
    </w:p>
    <w:p>
      <w:pPr>
        <w:pStyle w:val="Normal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Heading3"/>
        <w:spacing w:before="0" w:after="80"/>
        <w:jc w:val="left"/>
        <w:rPr>
          <w:rFonts w:ascii="Times New Roman" w:hAnsi="Times New Roman" w:eastAsia="Aptos" w:cs="Times New Roman"/>
          <w:color w:val="auto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/>
          <w:b/>
          <w:bCs/>
          <w:color w:val="auto"/>
          <w:sz w:val="28"/>
          <w:szCs w:val="28"/>
          <w:lang w:val="en-US"/>
        </w:rPr>
        <w:t>2. Исходные данные</w:t>
      </w:r>
      <w:r>
        <w:rPr>
          <w:rFonts w:eastAsia="Aptos" w:cs="Times New Roman" w:ascii="Times New Roman" w:hAnsi="Times New Roman"/>
          <w:b/>
          <w:bCs/>
          <w:color w:val="auto"/>
          <w:sz w:val="28"/>
          <w:szCs w:val="28"/>
          <w:lang w:val="en-US"/>
        </w:rPr>
        <w:t xml:space="preserve"> </w:t>
      </w:r>
    </w:p>
    <w:p>
      <w:pPr>
        <w:pStyle w:val="BodyText"/>
        <w:spacing w:lineRule="auto" w:line="278" w:before="0" w:after="16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Граф-схема алгоритма (ГСА) задана на рис. 6.5(б) методички (прилагается).</w:t>
        <w:br/>
        <w:t xml:space="preserve">Микрокоманды: 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lineRule="auto" w:line="278"/>
        <w:ind w:hanging="283" w:left="709" w:right="0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2</m:t>
          </m:r>
          <m:sSub>
            <m:e>
              <m:r>
                <w:rPr>
                  <w:rFonts w:ascii="Cambria Math" w:hAnsi="Cambria Math"/>
                </w:rPr>
                <m:t xml:space="preserve">​</m:t>
              </m:r>
            </m:e>
            <m:sub>
              <m:r>
                <w:rPr>
                  <w:rFonts w:ascii="Cambria Math" w:hAnsi="Cambria Math"/>
                </w:rPr>
                <m:t xml:space="preserve">,</m:t>
              </m:r>
            </m:sub>
          </m:sSub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5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Y</m:t>
              </m:r>
            </m:e>
            <m:sub>
              <m:r>
                <w:rPr>
                  <w:rFonts w:ascii="Cambria Math" w:hAnsi="Cambria Math"/>
                </w:rPr>
                <m:t xml:space="preserve">6</m:t>
              </m:r>
            </m:sub>
          </m:sSub>
          <m:r>
            <w:rPr>
              <w:rFonts w:ascii="Cambria Math" w:hAnsi="Cambria Math"/>
            </w:rPr>
            <m:t xml:space="preserve">​</m:t>
          </m:r>
        </m:oMath>
      </m:oMathPara>
    </w:p>
    <w:p>
      <w:pPr>
        <w:pStyle w:val="BodyText"/>
        <w:spacing w:lineRule="auto" w:line="278" w:before="0" w:after="16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Условия перехода: 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lineRule="auto" w:line="278"/>
        <w:ind w:hanging="283" w:left="709" w:right="0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r>
            <w:rPr>
              <w:rFonts w:ascii="Cambria Math" w:hAnsi="Cambria Math"/>
            </w:rPr>
            <m:t xml:space="preserve">​</m:t>
          </m:r>
        </m:oMath>
      </m:oMathPara>
    </w:p>
    <w:p>
      <w:pPr>
        <w:pStyle w:val="Normal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Heading3"/>
        <w:spacing w:before="0" w:after="80"/>
        <w:jc w:val="left"/>
        <w:rPr>
          <w:rFonts w:ascii="Times New Roman" w:hAnsi="Times New Roman" w:eastAsia="Aptos" w:cs="Times New Roman"/>
          <w:color w:val="auto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/>
          <w:b/>
          <w:bCs/>
          <w:color w:val="auto"/>
          <w:sz w:val="28"/>
          <w:szCs w:val="28"/>
          <w:lang w:val="en-US"/>
        </w:rPr>
        <w:t>3. Абстрактный синтез автомата Мура S7</w:t>
      </w:r>
      <w:r>
        <w:rPr>
          <w:rFonts w:eastAsia="Aptos" w:cs="Times New Roman" w:ascii="Times New Roman" w:hAnsi="Times New Roman"/>
          <w:b/>
          <w:bCs/>
          <w:color w:val="auto"/>
          <w:sz w:val="28"/>
          <w:szCs w:val="28"/>
          <w:lang w:val="en-US"/>
        </w:rPr>
        <w:t xml:space="preserve"> </w:t>
      </w:r>
    </w:p>
    <w:p>
      <w:pPr>
        <w:pStyle w:val="Heading4"/>
        <w:spacing w:before="0" w:after="160"/>
        <w:rPr>
          <w:rFonts w:ascii="Times New Roman" w:hAnsi="Times New Roman" w:eastAsia="Aptos" w:cs="Times New Roman"/>
          <w:color w:val="auto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3.1. Отметка ГСА для автомата Мура</w:t>
      </w:r>
      <w:r>
        <w:rPr>
          <w:rFonts w:eastAsia="Aptos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 xml:space="preserve"> </w:t>
      </w:r>
    </w:p>
    <w:p>
      <w:pPr>
        <w:pStyle w:val="BodyText"/>
        <w:spacing w:lineRule="auto" w:line="278" w:before="0" w:after="16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Согласно методике (раздел 3.1 методички): 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 w:right="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Начальная и конечная вершины отмечаются символом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​</m:t>
        </m:r>
        <m:r>
          <w:rPr>
            <w:rFonts w:ascii="Cambria Math" w:hAnsi="Cambria Math"/>
          </w:rPr>
          <m:t xml:space="preserve">.</m:t>
        </m:r>
      </m:oMath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lineRule="auto" w:line="278"/>
        <w:ind w:hanging="283" w:left="709"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Каждая операторная вершина отмечается уникальным символом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​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​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b</m:t>
            </m:r>
          </m:e>
          <m:sub>
            <m:r>
              <w:rPr>
                <w:rFonts w:ascii="Cambria Math" w:hAnsi="Cambria Math"/>
              </w:rPr>
              <m:t xml:space="preserve">7</m:t>
            </m:r>
          </m:sub>
        </m:sSub>
        <m:r>
          <w:rPr>
            <w:rFonts w:ascii="Cambria Math" w:hAnsi="Cambria Math"/>
          </w:rPr>
          <m:t xml:space="preserve">​</m:t>
        </m:r>
      </m:oMath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. </w:t>
      </w:r>
    </w:p>
    <w:p>
      <w:pPr>
        <w:pStyle w:val="Heading4"/>
        <w:jc w:val="left"/>
        <w:rPr>
          <w:rFonts w:ascii="Times New Roman" w:hAnsi="Times New Roman" w:eastAsia="Aptos" w:cs="Times New Roman"/>
          <w:color w:val="auto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3.2. Прямая таблица переходов автомата Мура S7</w:t>
      </w:r>
      <w:r>
        <w:rPr>
          <w:rFonts w:eastAsia="Aptos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 xml:space="preserve"> </w:t>
      </w:r>
    </w:p>
    <w:tbl>
      <w:tblPr>
        <w:tblW w:w="930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8"/>
        <w:gridCol w:w="449"/>
        <w:gridCol w:w="450"/>
        <w:gridCol w:w="2163"/>
        <w:gridCol w:w="5850"/>
      </w:tblGrid>
      <w:tr>
        <w:trPr/>
        <w:tc>
          <w:tcPr>
            <w:tcW w:w="38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№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jc w:val="left"/>
              <w:rPr>
                <w:b w:val="false"/>
                <w:bCs w:val="false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oMath>
            </m:oMathPara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jc w:val="left"/>
              <w:rPr>
                <w:b w:val="false"/>
                <w:bCs w:val="false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S</m:t>
                    </m:r>
                  </m:sub>
                </m:sSub>
              </m:oMath>
            </m:oMathPara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jc w:val="left"/>
              <w:rPr>
                <w:b w:val="false"/>
                <w:bCs w:val="false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S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jc w:val="left"/>
              <w:rPr>
                <w:b w:val="false"/>
                <w:bCs w:val="false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sub>
                    </m:sSub>
                  </m:e>
                </m:d>
              </m:oMath>
            </m:oMathPara>
          </w:p>
        </w:tc>
      </w:tr>
      <w:tr>
        <w:trPr/>
        <w:tc>
          <w:tcPr>
            <w:tcW w:w="38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b1​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b2​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X1​​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Y1​,Y2​</w:t>
            </w:r>
          </w:p>
        </w:tc>
      </w:tr>
      <w:tr>
        <w:trPr/>
        <w:tc>
          <w:tcPr>
            <w:tcW w:w="38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b1​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b3​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X1​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Y2​</w:t>
            </w:r>
          </w:p>
        </w:tc>
      </w:tr>
      <w:tr>
        <w:trPr/>
        <w:tc>
          <w:tcPr>
            <w:tcW w:w="38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b2​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b4​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X2​​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Y3​</w:t>
            </w:r>
          </w:p>
        </w:tc>
      </w:tr>
      <w:tr>
        <w:trPr/>
        <w:tc>
          <w:tcPr>
            <w:tcW w:w="38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b2​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b6​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X2​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Y1​,Y4​</w:t>
            </w:r>
          </w:p>
        </w:tc>
      </w:tr>
      <w:tr>
        <w:trPr/>
        <w:tc>
          <w:tcPr>
            <w:tcW w:w="38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b4​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b5​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Y4​</w:t>
            </w:r>
          </w:p>
        </w:tc>
      </w:tr>
      <w:tr>
        <w:trPr/>
        <w:tc>
          <w:tcPr>
            <w:tcW w:w="38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b5​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b7​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Y5​,Y6​</w:t>
            </w:r>
          </w:p>
        </w:tc>
      </w:tr>
      <w:tr>
        <w:trPr/>
        <w:tc>
          <w:tcPr>
            <w:tcW w:w="38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b7​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b1​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X4​​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—</w:t>
            </w:r>
          </w:p>
        </w:tc>
      </w:tr>
      <w:tr>
        <w:trPr/>
        <w:tc>
          <w:tcPr>
            <w:tcW w:w="38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b7​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b6​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X4​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Y1​,Y4​</w:t>
            </w:r>
          </w:p>
        </w:tc>
      </w:tr>
      <w:tr>
        <w:trPr/>
        <w:tc>
          <w:tcPr>
            <w:tcW w:w="38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b6​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b4​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X3​​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Y3​</w:t>
            </w:r>
          </w:p>
        </w:tc>
      </w:tr>
      <w:tr>
        <w:trPr/>
        <w:tc>
          <w:tcPr>
            <w:tcW w:w="38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b6​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b7​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X3​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Y5​,Y6​</w:t>
            </w:r>
          </w:p>
        </w:tc>
      </w:tr>
      <w:tr>
        <w:trPr/>
        <w:tc>
          <w:tcPr>
            <w:tcW w:w="38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</w:t>
            </w:r>
          </w:p>
        </w:tc>
        <w:tc>
          <w:tcPr>
            <w:tcW w:w="44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b3​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b5​</w:t>
            </w:r>
          </w:p>
        </w:tc>
        <w:tc>
          <w:tcPr>
            <w:tcW w:w="2163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58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Y4​</w:t>
            </w:r>
          </w:p>
        </w:tc>
      </w:tr>
    </w:tbl>
    <w:p>
      <w:pPr>
        <w:pStyle w:val="Normal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Heading4"/>
        <w:jc w:val="left"/>
        <w:rPr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4"/>
        <w:spacing w:before="0" w:after="4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3.3. Граф автомата Мура S7</w:t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1565275</wp:posOffset>
            </wp:positionH>
            <wp:positionV relativeFrom="paragraph">
              <wp:posOffset>165100</wp:posOffset>
            </wp:positionV>
            <wp:extent cx="2809875" cy="74771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477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  <w:r>
        <w:br w:type="page"/>
      </w:r>
    </w:p>
    <w:p>
      <w:pPr>
        <w:pStyle w:val="Heading3"/>
        <w:spacing w:before="0" w:after="8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/>
          <w:b/>
          <w:bCs/>
          <w:color w:val="auto"/>
          <w:sz w:val="28"/>
          <w:szCs w:val="28"/>
          <w:lang w:val="en-US"/>
        </w:rPr>
        <w:t xml:space="preserve">4. Структурный синтез автомата S7 на Т-триггерах </w:t>
      </w:r>
    </w:p>
    <w:p>
      <w:pPr>
        <w:pStyle w:val="Heading4"/>
        <w:spacing w:before="0" w:after="160"/>
        <w:rPr>
          <w:rFonts w:ascii="Times New Roman" w:hAnsi="Times New Roman" w:eastAsia="Aptos" w:cs="Times New Roman"/>
          <w:color w:val="auto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4.1. Определение числа триггеров</w:t>
      </w:r>
      <w:r>
        <w:rPr>
          <w:rFonts w:eastAsia="Aptos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 xml:space="preserve"> </w:t>
      </w:r>
    </w:p>
    <w:p>
      <w:pPr>
        <w:pStyle w:val="BodyText"/>
        <w:spacing w:lineRule="auto" w:line="278" w:before="0" w:after="160"/>
        <w:ind w:hanging="0" w:left="0" w:right="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Число состояний: M=7 </w:t>
        <w:br/>
        <w:t xml:space="preserve">Число триггеров: </w:t>
      </w:r>
    </w:p>
    <w:p>
      <w:pPr>
        <w:pStyle w:val="BodyText"/>
        <w:spacing w:lineRule="auto" w:line="278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R</m:t>
          </m:r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log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M</m:t>
          </m:r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log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​</m:t>
          </m:r>
          <m:r>
            <w:rPr>
              <w:rFonts w:ascii="Cambria Math" w:hAnsi="Cambria Math"/>
            </w:rPr>
            <m:t xml:space="preserve">7</m:t>
          </m:r>
          <m:r>
            <m:rPr>
              <m:lit/>
              <m:nor/>
            </m:rP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</m:oMath>
      </m:oMathPara>
    </w:p>
    <w:p>
      <w:pPr>
        <w:pStyle w:val="Heading4"/>
        <w:spacing w:before="0" w:after="160"/>
        <w:rPr>
          <w:rFonts w:ascii="Times New Roman" w:hAnsi="Times New Roman" w:eastAsia="Aptos" w:cs="Times New Roman"/>
          <w:color w:val="auto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4.2. Кодирование состояний</w:t>
      </w:r>
      <w:r>
        <w:rPr>
          <w:rFonts w:eastAsia="Aptos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 xml:space="preserve"> </w:t>
      </w:r>
    </w:p>
    <w:p>
      <w:pPr>
        <w:pStyle w:val="BodyText"/>
        <w:spacing w:lineRule="auto" w:line="278" w:before="0" w:after="16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Применяем последовательное кодирование: </w:t>
      </w:r>
    </w:p>
    <w:tbl>
      <w:tblPr>
        <w:tblW w:w="7860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080"/>
        <w:gridCol w:w="3780"/>
      </w:tblGrid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Cостояние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Код 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K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oMath>
          </w:p>
        </w:tc>
      </w:tr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b1​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000</w:t>
            </w:r>
          </w:p>
        </w:tc>
      </w:tr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b2​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001</w:t>
            </w:r>
          </w:p>
        </w:tc>
      </w:tr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b3​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010</w:t>
            </w:r>
          </w:p>
        </w:tc>
      </w:tr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b4​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011</w:t>
            </w:r>
          </w:p>
        </w:tc>
      </w:tr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b5​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100</w:t>
            </w:r>
          </w:p>
        </w:tc>
      </w:tr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b6​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101</w:t>
            </w:r>
          </w:p>
        </w:tc>
      </w:tr>
      <w:tr>
        <w:trPr/>
        <w:tc>
          <w:tcPr>
            <w:tcW w:w="408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b7​</w:t>
            </w:r>
          </w:p>
        </w:tc>
        <w:tc>
          <w:tcPr>
            <w:tcW w:w="3780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110</w:t>
            </w:r>
          </w:p>
        </w:tc>
      </w:tr>
    </w:tbl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</w:p>
    <w:p>
      <w:pPr>
        <w:pStyle w:val="Heading4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 xml:space="preserve">4.3. Структурная таблица автомата S7 </w:t>
      </w:r>
    </w:p>
    <w:p>
      <w:pPr>
        <w:pStyle w:val="BodyText"/>
        <w:spacing w:lineRule="auto" w:line="278" w:before="0" w:after="160"/>
        <w:ind w:hanging="0" w:left="0" w:right="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Для Т-триггера: T=Q⊕Q′ </w:t>
      </w:r>
    </w:p>
    <w:tbl>
      <w:tblPr>
        <w:tblW w:w="4304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89"/>
        <w:gridCol w:w="448"/>
        <w:gridCol w:w="508"/>
        <w:gridCol w:w="450"/>
        <w:gridCol w:w="508"/>
        <w:gridCol w:w="460"/>
        <w:gridCol w:w="776"/>
        <w:gridCol w:w="239"/>
        <w:gridCol w:w="241"/>
        <w:gridCol w:w="285"/>
      </w:tblGrid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b1​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000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b2​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001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X1​​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Y1​,Y2​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41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b1​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000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b3​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010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X1​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Y2​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41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b2​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001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b4​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011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X2​​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Y3​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41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b2​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001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b6​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101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X2​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Y1​,Y4​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41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b4​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011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b5​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100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Y4​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41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6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b5​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100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b7​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110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Y5​,Y6​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41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b7​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110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b1​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000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X4​​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—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41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8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b7​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110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b6​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101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X4​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Y1​,Y4​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41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9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b6​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101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b4​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011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X3​​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Y3​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41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b6​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101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b7​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110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X3​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Y5​,Y6​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  <w:tc>
          <w:tcPr>
            <w:tcW w:w="241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</w:tr>
      <w:tr>
        <w:trPr/>
        <w:tc>
          <w:tcPr>
            <w:tcW w:w="38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</w:t>
            </w:r>
          </w:p>
        </w:tc>
        <w:tc>
          <w:tcPr>
            <w:tcW w:w="44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b3​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010</w:t>
            </w:r>
          </w:p>
        </w:tc>
        <w:tc>
          <w:tcPr>
            <w:tcW w:w="45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b5​</w:t>
            </w:r>
          </w:p>
        </w:tc>
        <w:tc>
          <w:tcPr>
            <w:tcW w:w="508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100</w:t>
            </w:r>
          </w:p>
        </w:tc>
        <w:tc>
          <w:tcPr>
            <w:tcW w:w="460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776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Y4​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41" w:type="dxa"/>
            <w:tcBorders/>
            <w:vAlign w:val="center"/>
          </w:tcPr>
          <w:p>
            <w:pPr>
              <w:pStyle w:val="TableContents"/>
              <w:spacing w:before="0" w:after="0"/>
              <w:ind w:hanging="0" w:left="0" w:right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285" w:type="dxa"/>
            <w:tcBorders/>
            <w:vAlign w:val="center"/>
          </w:tcPr>
          <w:p>
            <w:pPr>
              <w:pStyle w:val="TableContents"/>
              <w:spacing w:before="0" w:after="0"/>
              <w:rPr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</w:t>
            </w:r>
          </w:p>
        </w:tc>
      </w:tr>
    </w:tbl>
    <w:p>
      <w:pPr>
        <w:pStyle w:val="Normal"/>
        <w:jc w:val="left"/>
        <w:rPr>
          <w:rFonts w:eastAsia="Aptos"/>
          <w:b w:val="false"/>
          <w:bCs w:val="false"/>
          <w:color w:val="auto"/>
        </w:rPr>
      </w:pPr>
      <w:r>
        <w:rPr>
          <w:rFonts w:eastAsia="Aptos"/>
          <w:b w:val="false"/>
          <w:bCs w:val="false"/>
          <w:color w:val="auto"/>
        </w:rPr>
      </w:r>
      <w:r>
        <w:br w:type="page"/>
      </w:r>
    </w:p>
    <w:p>
      <w:pPr>
        <w:pStyle w:val="Heading4"/>
        <w:spacing w:before="0" w:after="40"/>
        <w:jc w:val="left"/>
        <w:rPr>
          <w:rFonts w:ascii="Times New Roman" w:hAnsi="Times New Roman" w:eastAsia="Aptos" w:cs="Times New Roman"/>
          <w:color w:val="auto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4.4. Система канонических уравнений</w:t>
      </w:r>
      <w:r>
        <w:rPr>
          <w:rFonts w:eastAsia="Aptos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 xml:space="preserve"> </w:t>
      </w:r>
    </w:p>
    <w:p>
      <w:pPr>
        <w:pStyle w:val="Heading5"/>
        <w:spacing w:before="0" w:after="160"/>
        <w:rPr>
          <w:rFonts w:ascii="Times New Roman" w:hAnsi="Times New Roman" w:eastAsia="Aptos" w:cs="Times New Roman"/>
          <w:b w:val="false"/>
          <w:bCs w:val="false"/>
          <w:color w:val="auto"/>
          <w:sz w:val="28"/>
          <w:szCs w:val="28"/>
          <w:lang w:val="en-US"/>
        </w:rPr>
      </w:pPr>
      <w:r>
        <w:rPr>
          <w:rFonts w:eastAsia="Aptos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 xml:space="preserve">Функции выходов (автомат Мура → зависят только от состояния): </w:t>
      </w:r>
    </w:p>
    <w:p>
      <w:pPr>
        <w:pStyle w:val="BodyText"/>
        <w:spacing w:lineRule="auto" w:line="278" w:before="0" w:after="0"/>
        <w:ind w:hanging="0" w:left="0" w:right="0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5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6</m:t>
                  </m:r>
                </m:sub>
              </m:sSub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Q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​</m:t>
              </m:r>
              <m:r>
                <w:rPr>
                  <w:rFonts w:ascii="Cambria Math" w:hAnsi="Cambria Math"/>
                </w:rPr>
                <m:t xml:space="preserve">⋅</m:t>
              </m:r>
              <m:acc>
                <m:accPr>
                  <m:chr m:val="¯"/>
                </m:acc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acc>
            </m:e>
          </m:eqArr>
        </m:oMath>
      </m:oMathPara>
    </w:p>
    <w:p>
      <w:pPr>
        <w:pStyle w:val="Normal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eqArr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b>
                      </m:sSub>
                    </m:e>
                  </m:ba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</m:e>
                  </m:ba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bar>
                </m:e>
              </m:d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ba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sub>
                      </m:sSub>
                    </m:e>
                  </m:bar>
                </m:e>
              </m:d>
            </m:e>
            <m:e>
              <m:sSub>
                <m:e>
                  <m:r>
                    <w:rPr>
                      <w:rFonts w:ascii="Cambria Math" w:hAnsi="Cambria Math"/>
                    </w:rPr>
                    <m:t xml:space="preserve">T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</m:sSub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=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b>
                  </m:sSub>
                </m:e>
              </m:d>
              <m:r>
                <m:rPr>
                  <m:lit/>
                  <m:nor/>
                </m:rPr>
                <w:rPr>
                  <w:rFonts w:ascii="Cambria Math" w:hAnsi="Cambria Math"/>
                </w:rPr>
                <m:t xml:space="preserve">+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bar>
                    <m:barPr>
                      <m:pos m:val="top"/>
                    </m:bar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bar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⋅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</m:e>
              </m:d>
            </m:e>
          </m:eqArr>
        </m:oMath>
      </m:oMathPara>
    </w:p>
    <w:p>
      <w:pPr>
        <w:pStyle w:val="Heading4"/>
        <w:jc w:val="left"/>
        <w:rPr>
          <w:rFonts w:ascii="Times New Roman" w:hAnsi="Times New Roman" w:eastAsia="Aptos" w:cs="Times New Roman"/>
          <w:color w:val="auto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>4.5. Структурная схема автомата S7</w:t>
      </w:r>
      <w:r>
        <w:rPr>
          <w:rFonts w:eastAsia="Aptos" w:cs="Times New Roman" w:ascii="Times New Roman" w:hAnsi="Times New Roman"/>
          <w:b w:val="false"/>
          <w:bCs w:val="false"/>
          <w:color w:val="auto"/>
          <w:sz w:val="28"/>
          <w:szCs w:val="28"/>
          <w:lang w:val="en-US"/>
        </w:rPr>
        <w:t xml:space="preserve"> </w:t>
      </w:r>
    </w:p>
    <w:p>
      <w:pPr>
        <w:pStyle w:val="BodyText"/>
        <w:spacing w:lineRule="auto" w:line="278" w:before="0" w:after="160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Структурная схема состоит из трёх блоков: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Регистр состояния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— 3 Т-триггера, хранящие Q2​,Q1​,Q0​ 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78" w:before="0" w:after="0"/>
        <w:ind w:hanging="283" w:left="709"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Комбинационная схема переходов (КСпер)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— реализует функции T2​(Q,X),T1​(Q,X),T0​(Q,X) . 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lineRule="auto" w:line="278"/>
        <w:ind w:hanging="283" w:left="709" w:righ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Комбинационная схема выходов (КСвых)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— реализует функции Y1​(Q),…,Y6​(Q) . </w:t>
      </w:r>
    </w:p>
    <w:p>
      <w:pPr>
        <w:pStyle w:val="Normal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-57150</wp:posOffset>
            </wp:positionH>
            <wp:positionV relativeFrom="paragraph">
              <wp:posOffset>1905</wp:posOffset>
            </wp:positionV>
            <wp:extent cx="5940425" cy="310705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  <w:r>
        <w:br w:type="page"/>
      </w:r>
    </w:p>
    <w:p>
      <w:pPr>
        <w:pStyle w:val="Heading3"/>
        <w:spacing w:before="0" w:after="80"/>
        <w:jc w:val="left"/>
        <w:rPr>
          <w:rFonts w:ascii="Times New Roman" w:hAnsi="Times New Roman" w:eastAsia="Aptos" w:cs="Times New Roman"/>
          <w:color w:val="auto"/>
          <w:sz w:val="28"/>
          <w:szCs w:val="28"/>
          <w:lang w:val="en-US"/>
        </w:rPr>
      </w:pPr>
      <w:r>
        <w:rPr>
          <w:rStyle w:val="Strong"/>
          <w:rFonts w:eastAsia="Aptos" w:cs="Times New Roman" w:ascii="Times New Roman" w:hAnsi="Times New Roman"/>
          <w:b/>
          <w:bCs/>
          <w:color w:val="auto"/>
          <w:sz w:val="28"/>
          <w:szCs w:val="28"/>
          <w:lang w:val="en-US"/>
        </w:rPr>
        <w:t>Вывод</w:t>
      </w:r>
      <w:r>
        <w:rPr>
          <w:rFonts w:eastAsia="Aptos" w:cs="Times New Roman" w:ascii="Times New Roman" w:hAnsi="Times New Roman"/>
          <w:b/>
          <w:bCs/>
          <w:color w:val="auto"/>
          <w:sz w:val="28"/>
          <w:szCs w:val="28"/>
          <w:lang w:val="en-US"/>
        </w:rPr>
        <w:t xml:space="preserve"> </w:t>
      </w:r>
    </w:p>
    <w:p>
      <w:pPr>
        <w:pStyle w:val="BodyText"/>
        <w:spacing w:lineRule="auto" w:line="278" w:before="0" w:after="1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В ходе выполнения лабораторной работы был синтезирован микропрограммный автомат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S7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 xml:space="preserve"> (автомат Мура), эквивалентный автомату Мили </w:t>
      </w:r>
      <w:r>
        <w:rPr>
          <w:rStyle w:val="Strong"/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S6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  <w:t>.</w:t>
        <w:br/>
        <w:t>Проведён абстрактный синтез по ГСА (рис. 6.5), построены таблицы переходов и структурная таблица на Т-триггерах.</w:t>
        <w:br/>
        <w:t>Получены логические функции возбуждения и выходов.</w:t>
        <w:br/>
        <w:t xml:space="preserve">Разработана структурная схема автомата, готовая к реализации на элементной базе. </w:t>
      </w:r>
    </w:p>
    <w:p>
      <w:pPr>
        <w:pStyle w:val="Normal"/>
        <w:spacing w:before="0" w:after="160"/>
        <w:jc w:val="left"/>
        <w:rPr>
          <w:rFonts w:ascii="Times New Roman" w:hAnsi="Times New Roman" w:cs="Times New Roman"/>
          <w:b w:val="false"/>
          <w:bCs w:val="false"/>
          <w:sz w:val="28"/>
          <w:szCs w:val="28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en-US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0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DejaVu Sans"/>
        <w:kern w:val="2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8" w:before="0" w:after="160"/>
      <w:jc w:val="left"/>
    </w:pPr>
    <w:rPr>
      <w:rFonts w:ascii="Aptos" w:hAnsi="Aptos" w:eastAsia="Aptos" w:cs="DejaVu Sans"/>
      <w:color w:val="auto"/>
      <w:kern w:val="2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keepLines/>
      <w:numPr>
        <w:ilvl w:val="0"/>
        <w:numId w:val="0"/>
      </w:numPr>
      <w:spacing w:before="360" w:after="80"/>
      <w:outlineLvl w:val="0"/>
    </w:pPr>
    <w:rPr>
      <w:rFonts w:ascii="Aptos Display" w:hAnsi="Aptos Display" w:eastAsia="Aptos" w:cs="DejaVu Sans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0"/>
        <w:numId w:val="0"/>
      </w:numPr>
      <w:spacing w:before="160" w:after="80"/>
      <w:outlineLvl w:val="1"/>
    </w:pPr>
    <w:rPr>
      <w:rFonts w:ascii="Aptos Display" w:hAnsi="Aptos Display" w:eastAsia="Aptos" w:cs="DejaVu Sans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numPr>
        <w:ilvl w:val="0"/>
        <w:numId w:val="0"/>
      </w:numPr>
      <w:spacing w:before="160" w:after="80"/>
      <w:outlineLvl w:val="2"/>
    </w:pPr>
    <w:rPr>
      <w:rFonts w:eastAsia="Aptos" w:cs="DejaVu Sans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qFormat/>
    <w:pPr>
      <w:keepNext w:val="true"/>
      <w:keepLines/>
      <w:numPr>
        <w:ilvl w:val="0"/>
        <w:numId w:val="0"/>
      </w:numPr>
      <w:spacing w:before="80" w:after="40"/>
      <w:outlineLvl w:val="3"/>
    </w:pPr>
    <w:rPr>
      <w:rFonts w:eastAsia="Aptos" w:cs="DejaVu Sans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Aptos" w:cs="DejaVu Sans"/>
      <w:color w:themeColor="accent1" w:themeShade="bf" w:val="0F4761"/>
    </w:rPr>
  </w:style>
  <w:style w:type="paragraph" w:styleId="Heading6">
    <w:name w:val="heading 6"/>
    <w:basedOn w:val="Normal"/>
    <w:next w:val="Normal"/>
    <w:link w:val="6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Aptos" w:cs="DejaVu Sans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7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Aptos" w:cs="DejaVu Sans"/>
      <w:color w:themeColor="dark1" w:themeTint="a6" w:val="595959"/>
    </w:rPr>
  </w:style>
  <w:style w:type="paragraph" w:styleId="Heading8">
    <w:name w:val="heading 8"/>
    <w:basedOn w:val="Normal"/>
    <w:next w:val="Normal"/>
    <w:link w:val="8"/>
    <w:qFormat/>
    <w:pPr>
      <w:keepNext w:val="true"/>
      <w:keepLines/>
      <w:numPr>
        <w:ilvl w:val="0"/>
        <w:numId w:val="0"/>
      </w:numPr>
      <w:spacing w:before="0" w:after="0"/>
      <w:outlineLvl w:val="7"/>
    </w:pPr>
    <w:rPr>
      <w:rFonts w:eastAsia="Aptos" w:cs="DejaVu Sans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9"/>
    <w:qFormat/>
    <w:pPr>
      <w:keepNext w:val="true"/>
      <w:keepLines/>
      <w:numPr>
        <w:ilvl w:val="0"/>
        <w:numId w:val="0"/>
      </w:numPr>
      <w:spacing w:before="0" w:after="0"/>
      <w:outlineLvl w:val="8"/>
    </w:pPr>
    <w:rPr>
      <w:rFonts w:eastAsia="Aptos" w:cs="DejaVu Sans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1">
    <w:name w:val="Заголовок 1 Знак"/>
    <w:basedOn w:val="DefaultParagraphFont"/>
    <w:link w:val="Heading1"/>
    <w:qFormat/>
    <w:rPr>
      <w:rFonts w:ascii="Aptos Display" w:hAnsi="Aptos Display" w:eastAsia="Aptos" w:cs="DejaVu Sans"/>
      <w:color w:themeColor="accent1" w:themeShade="bf" w:val="0F4761"/>
      <w:sz w:val="40"/>
      <w:szCs w:val="40"/>
    </w:rPr>
  </w:style>
  <w:style w:type="character" w:styleId="2">
    <w:name w:val="Заголовок 2 Знак"/>
    <w:basedOn w:val="DefaultParagraphFont"/>
    <w:link w:val="Heading2"/>
    <w:qFormat/>
    <w:rPr>
      <w:rFonts w:ascii="Aptos Display" w:hAnsi="Aptos Display" w:eastAsia="Aptos" w:cs="DejaVu Sans"/>
      <w:color w:themeColor="accent1" w:themeShade="bf" w:val="0F4761"/>
      <w:sz w:val="32"/>
      <w:szCs w:val="32"/>
    </w:rPr>
  </w:style>
  <w:style w:type="character" w:styleId="3">
    <w:name w:val="Заголовок 3 Знак"/>
    <w:basedOn w:val="DefaultParagraphFont"/>
    <w:link w:val="Heading3"/>
    <w:qFormat/>
    <w:rPr>
      <w:rFonts w:eastAsia="Aptos" w:cs="DejaVu Sans"/>
      <w:color w:themeColor="accent1" w:themeShade="bf" w:val="0F4761"/>
      <w:sz w:val="28"/>
      <w:szCs w:val="28"/>
    </w:rPr>
  </w:style>
  <w:style w:type="character" w:styleId="4">
    <w:name w:val="Заголовок 4 Знак"/>
    <w:basedOn w:val="DefaultParagraphFont"/>
    <w:link w:val="Heading4"/>
    <w:qFormat/>
    <w:rPr>
      <w:rFonts w:eastAsia="Aptos" w:cs="DejaVu Sans"/>
      <w:i/>
      <w:iCs/>
      <w:color w:themeColor="accent1" w:themeShade="bf" w:val="0F4761"/>
    </w:rPr>
  </w:style>
  <w:style w:type="character" w:styleId="5">
    <w:name w:val="Заголовок 5 Знак"/>
    <w:basedOn w:val="DefaultParagraphFont"/>
    <w:link w:val="Heading5"/>
    <w:qFormat/>
    <w:rPr>
      <w:rFonts w:eastAsia="Aptos" w:cs="DejaVu Sans"/>
      <w:color w:themeColor="accent1" w:themeShade="bf" w:val="0F4761"/>
    </w:rPr>
  </w:style>
  <w:style w:type="character" w:styleId="6">
    <w:name w:val="Заголовок 6 Знак"/>
    <w:basedOn w:val="DefaultParagraphFont"/>
    <w:link w:val="Heading6"/>
    <w:qFormat/>
    <w:rPr>
      <w:rFonts w:eastAsia="Aptos" w:cs="DejaVu Sans"/>
      <w:i/>
      <w:iCs/>
      <w:color w:themeColor="dark1" w:themeTint="a6" w:val="595959"/>
    </w:rPr>
  </w:style>
  <w:style w:type="character" w:styleId="7">
    <w:name w:val="Заголовок 7 Знак"/>
    <w:basedOn w:val="DefaultParagraphFont"/>
    <w:link w:val="Heading7"/>
    <w:qFormat/>
    <w:rPr>
      <w:rFonts w:eastAsia="Aptos" w:cs="DejaVu Sans"/>
      <w:color w:themeColor="dark1" w:themeTint="a6" w:val="595959"/>
    </w:rPr>
  </w:style>
  <w:style w:type="character" w:styleId="8">
    <w:name w:val="Заголовок 8 Знак"/>
    <w:basedOn w:val="DefaultParagraphFont"/>
    <w:link w:val="Heading8"/>
    <w:qFormat/>
    <w:rPr>
      <w:rFonts w:eastAsia="Aptos" w:cs="DejaVu Sans"/>
      <w:i/>
      <w:iCs/>
      <w:color w:themeColor="dark1" w:themeTint="d8" w:val="272727"/>
    </w:rPr>
  </w:style>
  <w:style w:type="character" w:styleId="9">
    <w:name w:val="Заголовок 9 Знак"/>
    <w:basedOn w:val="DefaultParagraphFont"/>
    <w:link w:val="Heading9"/>
    <w:qFormat/>
    <w:rPr>
      <w:rFonts w:eastAsia="Aptos" w:cs="DejaVu Sans"/>
      <w:color w:themeColor="dark1" w:themeTint="d8" w:val="272727"/>
    </w:rPr>
  </w:style>
  <w:style w:type="character" w:styleId="Style5">
    <w:name w:val="Заголовок Знак"/>
    <w:basedOn w:val="DefaultParagraphFont"/>
    <w:link w:val="Title"/>
    <w:qFormat/>
    <w:rPr>
      <w:rFonts w:ascii="Aptos Display" w:hAnsi="Aptos Display" w:eastAsia="Aptos" w:cs="DejaVu Sans"/>
      <w:spacing w:val="-10"/>
      <w:kern w:val="2"/>
      <w:sz w:val="56"/>
      <w:szCs w:val="56"/>
    </w:rPr>
  </w:style>
  <w:style w:type="character" w:styleId="Style6">
    <w:name w:val="Подзаголовок Знак"/>
    <w:basedOn w:val="DefaultParagraphFont"/>
    <w:link w:val="Subtitle"/>
    <w:qFormat/>
    <w:rPr>
      <w:rFonts w:eastAsia="Aptos" w:cs="DejaVu Sans"/>
      <w:color w:themeColor="dark1" w:themeTint="a6" w:val="595959"/>
      <w:spacing w:val="15"/>
      <w:sz w:val="28"/>
      <w:szCs w:val="28"/>
    </w:rPr>
  </w:style>
  <w:style w:type="character" w:styleId="21">
    <w:name w:val="Цитата 2 Знак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Style7">
    <w:name w:val="Выделенная цитата Знак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rPr>
      <w:color w:themeColor="hyperlink" w:val="467886"/>
      <w:u w:val="single"/>
    </w:rPr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next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200"/>
      <w:jc w:val="center"/>
    </w:pPr>
    <w:rPr>
      <w:rFonts w:ascii="Times New Roman" w:hAnsi="Times New Roman" w:eastAsia="Aptos" w:cs="DejaVu Sans"/>
      <w:iCs/>
      <w:color w:val="auto"/>
      <w:kern w:val="2"/>
      <w:sz w:val="28"/>
      <w:szCs w:val="18"/>
      <w:lang w:val="ru-RU" w:eastAsia="en-US" w:bidi="ar-SA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qFormat/>
    <w:pPr>
      <w:spacing w:lineRule="auto" w:line="240" w:before="0" w:after="80"/>
      <w:contextualSpacing/>
    </w:pPr>
    <w:rPr>
      <w:rFonts w:ascii="Aptos Display" w:hAnsi="Aptos Display" w:eastAsia="Aptos" w:cs="DejaVu Sans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qFormat/>
    <w:pPr/>
    <w:rPr>
      <w:rFonts w:eastAsia="Aptos" w:cs="DejaVu Sans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qFormat/>
    <w:pPr>
      <w:spacing w:lineRule="auto" w:line="259" w:before="240" w:after="0"/>
      <w:outlineLvl w:val="9"/>
    </w:pPr>
    <w:rPr>
      <w:kern w:val="0"/>
      <w:sz w:val="32"/>
      <w:szCs w:val="32"/>
      <w:lang w:eastAsia="ru-RU"/>
    </w:rPr>
  </w:style>
  <w:style w:type="paragraph" w:styleId="TOC2">
    <w:name w:val="toc 2"/>
    <w:basedOn w:val="Normal"/>
    <w:next w:val="Normal"/>
    <w:autoRedefine/>
    <w:pPr>
      <w:spacing w:before="0" w:after="100"/>
      <w:ind w:left="24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OC3">
    <w:name w:val="toc 3"/>
    <w:basedOn w:val="Index"/>
    <w:pPr>
      <w:tabs>
        <w:tab w:val="clear" w:pos="708"/>
        <w:tab w:val="right" w:pos="8788" w:leader="dot"/>
      </w:tabs>
      <w:ind w:hanging="0" w:left="567"/>
    </w:pPr>
    <w:rPr/>
  </w:style>
  <w:style w:type="paragraph" w:styleId="TOC1">
    <w:name w:val="toc 1"/>
    <w:basedOn w:val="Index"/>
    <w:pPr>
      <w:tabs>
        <w:tab w:val="clear" w:pos="708"/>
        <w:tab w:val="right" w:pos="9355" w:leader="dot"/>
      </w:tabs>
      <w:ind w:hanging="0" w:left="0"/>
    </w:pPr>
    <w:rPr/>
  </w:style>
  <w:style w:type="paragraph" w:styleId="BlockQuotationuser">
    <w:name w:val="Block Quotation (user)"/>
    <w:basedOn w:val="Normal"/>
    <w:qFormat/>
    <w:pPr>
      <w:spacing w:before="0" w:after="283"/>
      <w:ind w:hanging="0" w:left="567" w:right="567"/>
    </w:pPr>
    <w:rPr/>
  </w:style>
  <w:style w:type="numbering" w:styleId="NoList">
    <w:name w:val="No List"/>
    <w:qFormat/>
  </w:style>
  <w:style w:type="numbering" w:styleId="Numbering123">
    <w:name w:val="Numbering 123"/>
    <w:qFormat/>
  </w:style>
  <w:style w:type="numbering" w:styleId="Bulletuser">
    <w:name w:val="Bullet • (user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LibreOffice/25.8.2.2$Linux_X86_64 LibreOffice_project/580$Build-2</Application>
  <AppVersion>15.0000</AppVersion>
  <Pages>8</Pages>
  <Words>449</Words>
  <Characters>2143</Characters>
  <CharactersWithSpaces>2584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2025-09-23T22:06:00Z</dcterms:created>
  <dc:creator>Гузель Кумушбаева</dc:creator>
  <dc:description/>
  <dc:language>en-US</dc:language>
  <cp:lastModifiedBy/>
  <dcterms:modified xsi:type="dcterms:W3CDTF">2025-10-24T22:36:38Z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