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8EC9" w14:textId="77777777" w:rsidR="000017AB" w:rsidRDefault="00BA1638">
      <w:pPr>
        <w:jc w:val="center"/>
      </w:pPr>
      <w:r>
        <w:rPr>
          <w:b/>
          <w:sz w:val="56"/>
        </w:rPr>
        <w:t>Kindworth Market Analysis (Pitch Deck)</w:t>
      </w:r>
    </w:p>
    <w:p w14:paraId="03C29C80" w14:textId="77777777" w:rsidR="000017AB" w:rsidRDefault="00BA1638">
      <w:pPr>
        <w:jc w:val="center"/>
      </w:pPr>
      <w:r>
        <w:rPr>
          <w:i/>
          <w:sz w:val="24"/>
        </w:rPr>
        <w:t>Where emotional intelligence meets measurable culture.</w:t>
      </w:r>
      <w:r>
        <w:rPr>
          <w:i/>
          <w:sz w:val="24"/>
        </w:rPr>
        <w:br/>
        <w:t>October 2025</w:t>
      </w:r>
    </w:p>
    <w:p w14:paraId="5BFA880E" w14:textId="77777777" w:rsidR="000017AB" w:rsidRDefault="00BA1638">
      <w:r>
        <w:br w:type="page"/>
      </w:r>
    </w:p>
    <w:p w14:paraId="35426BB6" w14:textId="77777777" w:rsidR="000017AB" w:rsidRDefault="00BA1638">
      <w:pPr>
        <w:pStyle w:val="Heading1"/>
      </w:pPr>
      <w:r>
        <w:t>Executive Summary</w:t>
      </w:r>
    </w:p>
    <w:p w14:paraId="502AEACD" w14:textId="77777777" w:rsidR="000017AB" w:rsidRDefault="00BA1638">
      <w:pPr>
        <w:pStyle w:val="Body"/>
      </w:pPr>
      <w:r>
        <w:t>Kindworth is an HR‑tech platform that quantifies and improves workplace culture through emotional intelligence (EI). We turn everyday acts of support into measurable signals that leaders can act on to lift engagement, retention, and performance. In a global HR‑tech market approaching $40B and growing, Kindworth fills the gap between traditional HR systems and real‑time culture intelligence—meeting a timely need in hybrid work, burnout prevention, and talent retention.</w:t>
      </w:r>
    </w:p>
    <w:p w14:paraId="197E9178" w14:textId="77777777" w:rsidR="000017AB" w:rsidRDefault="00BA1638">
      <w:pPr>
        <w:pStyle w:val="Heading1"/>
      </w:pPr>
      <w:r>
        <w:t>Market Overview</w:t>
      </w:r>
    </w:p>
    <w:p w14:paraId="279F57A7" w14:textId="77777777" w:rsidR="000017AB" w:rsidRDefault="00BA1638">
      <w:pPr>
        <w:pStyle w:val="Body"/>
      </w:pPr>
      <w:r>
        <w:t>• Global HR‑tech market ~US$36–40B in 2024; projected to ~US$76–82B over the next 5–8 years (≈9–13% CAGR).</w:t>
      </w:r>
    </w:p>
    <w:p w14:paraId="26F257D8" w14:textId="77777777" w:rsidR="000017AB" w:rsidRDefault="00BA1638">
      <w:pPr>
        <w:pStyle w:val="Body"/>
      </w:pPr>
      <w:r>
        <w:t>• High‑growth subsegments: employee experience, engagement/recognition, and people analytics (mid‑teens CAGR).</w:t>
      </w:r>
    </w:p>
    <w:p w14:paraId="3A20B975" w14:textId="77777777" w:rsidR="000017AB" w:rsidRDefault="00BA1638">
      <w:pPr>
        <w:pStyle w:val="Body"/>
      </w:pPr>
      <w:r>
        <w:t>• Cloud delivery dominates new deployments; North America is largest market, APAC fastest‑growing.</w:t>
      </w:r>
    </w:p>
    <w:p w14:paraId="14779BFE" w14:textId="77777777" w:rsidR="000017AB" w:rsidRDefault="00BA1638">
      <w:pPr>
        <w:pStyle w:val="Heading1"/>
      </w:pPr>
      <w:r>
        <w:t>Industry Trends</w:t>
      </w:r>
    </w:p>
    <w:p w14:paraId="4BA8149F" w14:textId="77777777" w:rsidR="000017AB" w:rsidRDefault="00BA1638">
      <w:pPr>
        <w:pStyle w:val="Body"/>
      </w:pPr>
      <w:r>
        <w:t>• Hybrid/remote work normalization → demand for culture visibility and distributed engagement.</w:t>
      </w:r>
    </w:p>
    <w:p w14:paraId="0A2BFE31" w14:textId="77777777" w:rsidR="000017AB" w:rsidRDefault="00BA1638">
      <w:pPr>
        <w:pStyle w:val="Body"/>
      </w:pPr>
      <w:r>
        <w:t>• AI/automation across HR (from recruiting to people analytics) moves teams from lagging to predictive insights.</w:t>
      </w:r>
    </w:p>
    <w:p w14:paraId="54C35CE4" w14:textId="77777777" w:rsidR="000017AB" w:rsidRDefault="00BA1638">
      <w:pPr>
        <w:pStyle w:val="Body"/>
      </w:pPr>
      <w:r>
        <w:t>• Employee experience &amp; well‑being prioritized; DEI and psychological safety embedded into KPIs.</w:t>
      </w:r>
    </w:p>
    <w:p w14:paraId="65CF6E6B" w14:textId="77777777" w:rsidR="000017AB" w:rsidRDefault="00BA1638">
      <w:pPr>
        <w:pStyle w:val="Body"/>
      </w:pPr>
      <w:r>
        <w:t>• Skills‑based talent models and integrated ecosystems replace fragmented point solutions.</w:t>
      </w:r>
    </w:p>
    <w:p w14:paraId="61CBE5AC" w14:textId="77777777" w:rsidR="000017AB" w:rsidRDefault="00BA1638">
      <w:pPr>
        <w:pStyle w:val="Heading1"/>
      </w:pPr>
      <w:r>
        <w:t>Problem Landscape</w:t>
      </w:r>
    </w:p>
    <w:p w14:paraId="6636D96A" w14:textId="77777777" w:rsidR="000017AB" w:rsidRDefault="00BA1638">
      <w:pPr>
        <w:pStyle w:val="Body"/>
      </w:pPr>
      <w:r>
        <w:t>• Low engagement and high turnover impose massive costs; recognition gaps drive attrition.</w:t>
      </w:r>
    </w:p>
    <w:p w14:paraId="613FA0DB" w14:textId="77777777" w:rsidR="000017AB" w:rsidRDefault="00BA1638">
      <w:pPr>
        <w:pStyle w:val="Body"/>
      </w:pPr>
      <w:r>
        <w:t>• Burnout is widespread; without early signals, interventions arrive too late.</w:t>
      </w:r>
    </w:p>
    <w:p w14:paraId="610ADA3B" w14:textId="77777777" w:rsidR="000017AB" w:rsidRDefault="00BA1638">
      <w:pPr>
        <w:pStyle w:val="Body"/>
      </w:pPr>
      <w:r>
        <w:t>• Surveys are lagging indicators; leaders lack continuous, actionable culture data.</w:t>
      </w:r>
    </w:p>
    <w:p w14:paraId="7863001E" w14:textId="77777777" w:rsidR="000017AB" w:rsidRDefault="00BA1638">
      <w:pPr>
        <w:pStyle w:val="Heading1"/>
      </w:pPr>
      <w:r>
        <w:t>HR Tech Growth Drivers</w:t>
      </w:r>
    </w:p>
    <w:p w14:paraId="09087451" w14:textId="77777777" w:rsidR="000017AB" w:rsidRDefault="00BA1638">
      <w:pPr>
        <w:pStyle w:val="Body"/>
      </w:pPr>
      <w:r>
        <w:t>• Digital transformation of HR → intelligent self‑service + analytics as strategic infrastructure.</w:t>
      </w:r>
    </w:p>
    <w:p w14:paraId="2462ECD1" w14:textId="77777777" w:rsidR="000017AB" w:rsidRDefault="00BA1638">
      <w:pPr>
        <w:pStyle w:val="Body"/>
      </w:pPr>
      <w:r>
        <w:t>• Hybrid workforce realities → tools to sustain connection, recognition, and team health.</w:t>
      </w:r>
    </w:p>
    <w:p w14:paraId="0223D9E8" w14:textId="77777777" w:rsidR="000017AB" w:rsidRDefault="00BA1638">
      <w:pPr>
        <w:pStyle w:val="Body"/>
      </w:pPr>
      <w:r>
        <w:t>• ROI orientation → CFOs want measurable links between culture programs and outcomes.</w:t>
      </w:r>
    </w:p>
    <w:p w14:paraId="346B53CD" w14:textId="77777777" w:rsidR="000017AB" w:rsidRDefault="00BA1638">
      <w:pPr>
        <w:pStyle w:val="Body"/>
      </w:pPr>
      <w:r>
        <w:t>• Cloud + integrations → faster time‑to‑value and lower IT friction for adoption.</w:t>
      </w:r>
    </w:p>
    <w:p w14:paraId="147AB3FF" w14:textId="77777777" w:rsidR="000017AB" w:rsidRDefault="00BA1638">
      <w:pPr>
        <w:pStyle w:val="Heading1"/>
      </w:pPr>
      <w:r>
        <w:t>Emotional Intelligence Opportunity</w:t>
      </w:r>
    </w:p>
    <w:p w14:paraId="425803EB" w14:textId="77777777" w:rsidR="000017AB" w:rsidRDefault="00BA1638">
      <w:pPr>
        <w:pStyle w:val="Body"/>
      </w:pPr>
      <w:r>
        <w:t>• EI‑strong managers retain talent and elevate performance; EQ is a top in‑demand skill through 2025 and beyond.</w:t>
      </w:r>
    </w:p>
    <w:p w14:paraId="459B36BF" w14:textId="77777777" w:rsidR="000017AB" w:rsidRDefault="00BA1638">
      <w:pPr>
        <w:pStyle w:val="Body"/>
      </w:pPr>
      <w:r>
        <w:t>• Market demand for EI training/enablement is rising; few platforms translate EI into measurable culture metrics.</w:t>
      </w:r>
    </w:p>
    <w:p w14:paraId="6E901833" w14:textId="77777777" w:rsidR="000017AB" w:rsidRDefault="00BA1638">
      <w:pPr>
        <w:pStyle w:val="Body"/>
      </w:pPr>
      <w:r>
        <w:t>• Kindworth operationalizes EI: continuous recognition, manager coaching, and quantifiable culture improvements.</w:t>
      </w:r>
    </w:p>
    <w:p w14:paraId="28FD3C10" w14:textId="77777777" w:rsidR="000017AB" w:rsidRDefault="00BA1638">
      <w:pPr>
        <w:pStyle w:val="Heading1"/>
      </w:pPr>
      <w:r>
        <w:t>Competitive Gaps</w:t>
      </w:r>
    </w:p>
    <w:p w14:paraId="15F5FC12" w14:textId="77777777" w:rsidR="000017AB" w:rsidRDefault="00BA1638">
      <w:pPr>
        <w:pStyle w:val="Body"/>
      </w:pPr>
      <w:r>
        <w:t>• Legacy HCMs excel at transactions, not culture/EI insight; engagement tools often stop at measurement.</w:t>
      </w:r>
    </w:p>
    <w:p w14:paraId="18D3F23E" w14:textId="77777777" w:rsidR="000017AB" w:rsidRDefault="00BA1638">
      <w:pPr>
        <w:pStyle w:val="Body"/>
      </w:pPr>
      <w:r>
        <w:t>• Fragmented point solutions create low adoption and data silos; weak links to business KPIs.</w:t>
      </w:r>
    </w:p>
    <w:p w14:paraId="1600F4BD" w14:textId="77777777" w:rsidR="000017AB" w:rsidRDefault="00BA1638">
      <w:pPr>
        <w:pStyle w:val="Body"/>
      </w:pPr>
      <w:r>
        <w:t>• Kindworth unifies EI development, culture analytics, and action—closing the ‘measure‑to‑improve’ loop.</w:t>
      </w:r>
    </w:p>
    <w:p w14:paraId="3DB9C3B0" w14:textId="77777777" w:rsidR="000017AB" w:rsidRDefault="00BA1638">
      <w:pPr>
        <w:pStyle w:val="Heading1"/>
      </w:pPr>
      <w:r>
        <w:t>Market Segmentation</w:t>
      </w:r>
    </w:p>
    <w:p w14:paraId="1A95064A" w14:textId="77777777" w:rsidR="000017AB" w:rsidRDefault="00BA1638">
      <w:pPr>
        <w:pStyle w:val="Body"/>
      </w:pPr>
      <w:r>
        <w:t>• Company Size: Mid‑market to enterprise (≈200–5,000 employees) as the initial sweet spot.</w:t>
      </w:r>
    </w:p>
    <w:p w14:paraId="621F0612" w14:textId="77777777" w:rsidR="000017AB" w:rsidRDefault="00BA1638">
      <w:pPr>
        <w:pStyle w:val="Body"/>
      </w:pPr>
      <w:r>
        <w:t>• Industry: Tech/SaaS, professional services, healthcare, and financial services (talent‑intensive, burnout‑prone).</w:t>
      </w:r>
    </w:p>
    <w:p w14:paraId="5B38BB6D" w14:textId="77777777" w:rsidR="000017AB" w:rsidRDefault="00BA1638">
      <w:pPr>
        <w:pStyle w:val="Body"/>
      </w:pPr>
      <w:r>
        <w:t>• Geography: Focus on North America and Western Europe first; expand to APAC subsequently.</w:t>
      </w:r>
    </w:p>
    <w:p w14:paraId="2A7B2B1A" w14:textId="77777777" w:rsidR="000017AB" w:rsidRDefault="00BA1638">
      <w:pPr>
        <w:pStyle w:val="Body"/>
      </w:pPr>
      <w:r>
        <w:t>• Use‑Case: Engagement/culture, manager enablement, leadership development, and recognition.</w:t>
      </w:r>
    </w:p>
    <w:p w14:paraId="52314A81" w14:textId="77777777" w:rsidR="000017AB" w:rsidRDefault="00BA1638">
      <w:pPr>
        <w:pStyle w:val="Heading1"/>
      </w:pPr>
      <w:r>
        <w:t>Adoption Barriers &amp; Triggers</w:t>
      </w:r>
    </w:p>
    <w:p w14:paraId="48040A55" w14:textId="77777777" w:rsidR="000017AB" w:rsidRDefault="00BA1638">
      <w:pPr>
        <w:pStyle w:val="Body"/>
      </w:pPr>
      <w:r>
        <w:t>• Barriers: Budget proof, change resistance, privacy/integration due diligence, ownership bandwidth.</w:t>
      </w:r>
    </w:p>
    <w:p w14:paraId="5E0D460E" w14:textId="77777777" w:rsidR="000017AB" w:rsidRDefault="00BA1638">
      <w:pPr>
        <w:pStyle w:val="Body"/>
      </w:pPr>
      <w:r>
        <w:t>• Triggers: Leadership changes, attrition spikes, post‑merger integration, ESG/board scrutiny, employee voice.</w:t>
      </w:r>
    </w:p>
    <w:p w14:paraId="3E45657F" w14:textId="77777777" w:rsidR="000017AB" w:rsidRDefault="00BA1638">
      <w:pPr>
        <w:pStyle w:val="Heading1"/>
      </w:pPr>
      <w:r>
        <w:t>Growth Forecast &amp; Potential</w:t>
      </w:r>
    </w:p>
    <w:p w14:paraId="07538DE2" w14:textId="77777777" w:rsidR="000017AB" w:rsidRDefault="00BA1638">
      <w:pPr>
        <w:pStyle w:val="Body"/>
      </w:pPr>
      <w:r>
        <w:t>• Rising tide: HR‑tech roughly doubling this decade; engagement/analytics outpacing the average.</w:t>
      </w:r>
    </w:p>
    <w:p w14:paraId="2B76DB4A" w14:textId="77777777" w:rsidR="000017AB" w:rsidRDefault="00BA1638">
      <w:pPr>
        <w:pStyle w:val="Body"/>
      </w:pPr>
      <w:r>
        <w:t>• TAM expands by spanning engagement, leadership development, and well‑being budgets.</w:t>
      </w:r>
    </w:p>
    <w:p w14:paraId="09C7649A" w14:textId="77777777" w:rsidR="000017AB" w:rsidRDefault="00BA1638">
      <w:pPr>
        <w:pStyle w:val="Body"/>
      </w:pPr>
      <w:r>
        <w:t>• S‑curve adoption: pilots → mainstream within 3–5 years; high‑margin, compounding SaaS economics.</w:t>
      </w:r>
    </w:p>
    <w:p w14:paraId="416B1CB2" w14:textId="77777777" w:rsidR="000017AB" w:rsidRDefault="00BA1638">
      <w:pPr>
        <w:pStyle w:val="Heading1"/>
      </w:pPr>
      <w:r>
        <w:t>Why Kindworth Wins Now</w:t>
      </w:r>
    </w:p>
    <w:p w14:paraId="4538ADB5" w14:textId="77777777" w:rsidR="000017AB" w:rsidRDefault="00BA1638">
      <w:pPr>
        <w:pStyle w:val="Body"/>
      </w:pPr>
      <w:r>
        <w:t>• Urgency: Hybrid work, burnout, and retention pressures demand real culture change—now.</w:t>
      </w:r>
    </w:p>
    <w:p w14:paraId="2A6CD8D0" w14:textId="77777777" w:rsidR="000017AB" w:rsidRDefault="00BA1638">
      <w:pPr>
        <w:pStyle w:val="Body"/>
      </w:pPr>
      <w:r>
        <w:t>• Convergence: AI + people analytics enable measurable EI and proactive interventions.</w:t>
      </w:r>
    </w:p>
    <w:p w14:paraId="2CC67828" w14:textId="77777777" w:rsidR="000017AB" w:rsidRDefault="00BA1638">
      <w:pPr>
        <w:pStyle w:val="Body"/>
      </w:pPr>
      <w:r>
        <w:t>• Blue‑ocean positioning: Integrated EI + culture intelligence with demonstrable ROI.</w:t>
      </w:r>
    </w:p>
    <w:p w14:paraId="54FC7324" w14:textId="77777777" w:rsidR="000017AB" w:rsidRDefault="00BA1638">
      <w:pPr>
        <w:pStyle w:val="Heading1"/>
      </w:pPr>
      <w:r>
        <w:t>SaaS Case Study: 700‑Employee Tech Company</w:t>
      </w:r>
    </w:p>
    <w:p w14:paraId="73DA1965" w14:textId="77777777" w:rsidR="000017AB" w:rsidRDefault="00BA1638">
      <w:pPr>
        <w:pStyle w:val="Body"/>
      </w:pPr>
      <w:r>
        <w:t>A 700‑employee B2B SaaS firm faced 20% turnover, declining engagement, and burnout in engineering and customer success. They implemented Kindworth across six months with a baseline culture/EI survey, manager EQ coaching and nudges, a company‑wide recognition feed aligned to values, and burnout monitoring with targeted interventions (e.g., wellness afternoons during product launch crunch).</w:t>
      </w:r>
    </w:p>
    <w:p w14:paraId="110D386C" w14:textId="77777777" w:rsidR="000017AB" w:rsidRDefault="00BA1638">
      <w:pPr>
        <w:pStyle w:val="Body"/>
      </w:pPr>
      <w:r>
        <w:t>• Engagement: Company score rose from 65 → 74; recognition favorability from 55% → 80%.</w:t>
      </w:r>
    </w:p>
    <w:p w14:paraId="433A3CF5" w14:textId="77777777" w:rsidR="000017AB" w:rsidRDefault="00BA1638">
      <w:pPr>
        <w:pStyle w:val="Body"/>
      </w:pPr>
      <w:r>
        <w:t>• Retention: Voluntary turnover decreased 20% → 15% (≈35 avoidable departures saved).</w:t>
      </w:r>
    </w:p>
    <w:p w14:paraId="2C4165E9" w14:textId="77777777" w:rsidR="000017AB" w:rsidRDefault="00BA1638">
      <w:pPr>
        <w:pStyle w:val="Body"/>
      </w:pPr>
      <w:r>
        <w:t>• Burnout: High‑burnout incidence dropped from 48% → 28%; customer‑facing teams stabilized.</w:t>
      </w:r>
    </w:p>
    <w:p w14:paraId="63EF6C7E" w14:textId="77777777" w:rsidR="000017AB" w:rsidRDefault="00BA1638">
      <w:pPr>
        <w:pStyle w:val="Body"/>
      </w:pPr>
      <w:r>
        <w:t>• Recognition: 10,000+ peer recognitions/year; 85% of employees gave at least one kudos.</w:t>
      </w:r>
    </w:p>
    <w:p w14:paraId="7321F73C" w14:textId="77777777" w:rsidR="000017AB" w:rsidRDefault="00BA1638">
      <w:pPr>
        <w:pStyle w:val="Body"/>
      </w:pPr>
      <w:r>
        <w:t>• Leadership: 45/50 managers improved EI scores; team conflict incidents declined materially.</w:t>
      </w:r>
    </w:p>
    <w:p w14:paraId="7916B45A" w14:textId="77777777" w:rsidR="000017AB" w:rsidRDefault="00BA1638">
      <w:pPr>
        <w:pStyle w:val="Body"/>
      </w:pPr>
      <w:r>
        <w:t>• ROI: CFO reported ~3× return via retention savings, productivity gains, and avoided burnout costs.</w:t>
      </w:r>
    </w:p>
    <w:p w14:paraId="7711CEC3" w14:textId="77777777" w:rsidR="000017AB" w:rsidRDefault="00BA1638">
      <w:pPr>
        <w:pStyle w:val="Heading1"/>
      </w:pPr>
      <w:r>
        <w:t>Investor Call‑to‑Action</w:t>
      </w:r>
    </w:p>
    <w:p w14:paraId="0136089A" w14:textId="77777777" w:rsidR="000017AB" w:rsidRDefault="00BA1638">
      <w:pPr>
        <w:pStyle w:val="Body"/>
      </w:pPr>
      <w:r>
        <w:t>Kindworth is scaling a new category where emotional intelligence meets measurable culture. If you share our conviction that culture is a strategic asset, let’s talk.</w:t>
      </w:r>
    </w:p>
    <w:p w14:paraId="10F4B5DE" w14:textId="77777777" w:rsidR="000017AB" w:rsidRDefault="00BA1638">
      <w:pPr>
        <w:pStyle w:val="Body"/>
      </w:pPr>
      <w:r>
        <w:t>Investor Contact: Kushal Shah  |  kk3shah@uwaterloo.ca</w:t>
      </w:r>
    </w:p>
    <w:sectPr w:rsidR="000017AB"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042F8" w14:textId="77777777" w:rsidR="00BA1638" w:rsidRDefault="00BA1638">
      <w:pPr>
        <w:spacing w:after="0" w:line="240" w:lineRule="auto"/>
      </w:pPr>
      <w:r>
        <w:separator/>
      </w:r>
    </w:p>
  </w:endnote>
  <w:endnote w:type="continuationSeparator" w:id="0">
    <w:p w14:paraId="449A8856" w14:textId="77777777" w:rsidR="00BA1638" w:rsidRDefault="00BA1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2701" w14:textId="77777777" w:rsidR="000017AB" w:rsidRDefault="00BA1638">
    <w:pPr>
      <w:pStyle w:val="Footer"/>
      <w:jc w:val="center"/>
    </w:pPr>
    <w:r>
      <w:fldChar w:fldCharType="begin"/>
    </w:r>
    <w:r>
      <w:instrText>PAGE</w:instrText>
    </w:r>
    <w:r>
      <w:fldChar w:fldCharType="end"/>
    </w:r>
    <w:r>
      <w:t xml:space="preserve">  |  Where emotional intelligence meets measurable culture.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1364C" w14:textId="77777777" w:rsidR="00BA1638" w:rsidRDefault="00BA1638">
      <w:pPr>
        <w:spacing w:after="0" w:line="240" w:lineRule="auto"/>
      </w:pPr>
      <w:r>
        <w:separator/>
      </w:r>
    </w:p>
  </w:footnote>
  <w:footnote w:type="continuationSeparator" w:id="0">
    <w:p w14:paraId="74BBAD00" w14:textId="77777777" w:rsidR="00BA1638" w:rsidRDefault="00BA1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0C0D" w14:textId="77777777" w:rsidR="000017AB" w:rsidRDefault="00BA1638">
    <w:pPr>
      <w:pStyle w:val="Header"/>
    </w:pPr>
    <w:r>
      <w:rPr>
        <w:noProof/>
      </w:rPr>
      <w:drawing>
        <wp:inline distT="0" distB="0" distL="0" distR="0" wp14:anchorId="18CCCA30" wp14:editId="03755F58">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kindworth_logo.png"/>
                  <pic:cNvPicPr/>
                </pic:nvPicPr>
                <pic:blipFill>
                  <a:blip r:embed="rId1"/>
                  <a:stretch>
                    <a:fillRect/>
                  </a:stretch>
                </pic:blipFill>
                <pic:spPr>
                  <a:xfrm>
                    <a:off x="0" y="0"/>
                    <a:ext cx="1097280" cy="10972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025270">
    <w:abstractNumId w:val="8"/>
  </w:num>
  <w:num w:numId="2" w16cid:durableId="1703821917">
    <w:abstractNumId w:val="6"/>
  </w:num>
  <w:num w:numId="3" w16cid:durableId="1124422634">
    <w:abstractNumId w:val="5"/>
  </w:num>
  <w:num w:numId="4" w16cid:durableId="800534587">
    <w:abstractNumId w:val="4"/>
  </w:num>
  <w:num w:numId="5" w16cid:durableId="2055884957">
    <w:abstractNumId w:val="7"/>
  </w:num>
  <w:num w:numId="6" w16cid:durableId="2045668709">
    <w:abstractNumId w:val="3"/>
  </w:num>
  <w:num w:numId="7" w16cid:durableId="461924945">
    <w:abstractNumId w:val="2"/>
  </w:num>
  <w:num w:numId="8" w16cid:durableId="632560248">
    <w:abstractNumId w:val="1"/>
  </w:num>
  <w:num w:numId="9" w16cid:durableId="70853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AB"/>
    <w:rsid w:val="00034616"/>
    <w:rsid w:val="0006063C"/>
    <w:rsid w:val="0015074B"/>
    <w:rsid w:val="0029639D"/>
    <w:rsid w:val="00326F90"/>
    <w:rsid w:val="00341B2B"/>
    <w:rsid w:val="00AA1D8D"/>
    <w:rsid w:val="00B47730"/>
    <w:rsid w:val="00BA16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D9C07"/>
  <w14:defaultImageDpi w14:val="300"/>
  <w15:docId w15:val="{B4825838-1273-9949-9504-A376D5F5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Kushal Keyur Shah</cp:lastModifiedBy>
  <cp:revision>2</cp:revision>
  <dcterms:created xsi:type="dcterms:W3CDTF">2025-10-05T23:52:00Z</dcterms:created>
  <dcterms:modified xsi:type="dcterms:W3CDTF">2025-10-05T23:52:00Z</dcterms:modified>
  <cp:category/>
</cp:coreProperties>
</file>