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CBAM Engine</w:t>
      </w:r>
    </w:p>
    <w:p>
      <w:pPr>
        <w:jc w:val="center"/>
      </w:pPr>
      <w:r>
        <w:rPr>
          <w:color w:val="64748B"/>
          <w:sz w:val="40"/>
        </w:rPr>
        <w:t>Launch Readiness Assessment</w:t>
      </w:r>
    </w:p>
    <w:p/>
    <w:p>
      <w:pPr>
        <w:jc w:val="center"/>
      </w:pPr>
      <w:r>
        <w:rPr>
          <w:color w:val="94A3B8"/>
          <w:sz w:val="24"/>
        </w:rPr>
        <w:t>MatDataHub · October 01, 2026</w:t>
      </w:r>
    </w:p>
    <w:p>
      <w:pPr>
        <w:jc w:val="center"/>
      </w:pPr>
      <w:r>
        <w:rPr>
          <w:color w:val="94A3B8"/>
          <w:sz w:val="22"/>
        </w:rPr>
        <w:t>Based on adversarial QA testing across ~200 synthetic rows</w:t>
      </w:r>
    </w:p>
    <w:p>
      <w:pPr>
        <w:jc w:val="center"/>
      </w:pPr>
      <w:r>
        <w:rPr>
          <w:b/>
          <w:color w:val="DC2626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sz w:val="22"/>
        </w:rPr>
        <w:t xml:space="preserve">The CBAM calculation engine has been rigorously tested through multiple adversarial fix cycles against independent hand-built answer keys. </w:t>
      </w:r>
      <w:r>
        <w:rPr>
          <w:b/>
          <w:sz w:val="22"/>
        </w:rPr>
        <w:t>The engine logic is verified and trustworthy for scenario modeling, supplier risk assessment, and internal budgeting.</w:t>
      </w:r>
    </w:p>
    <w:p>
      <w:r>
        <w:rPr>
          <w:sz w:val="22"/>
        </w:rPr>
        <w:t>Four gaps remain between the current state and production readiness as a system of record for actual EU customs filings. This document details each gap, its risk level, and concrete remediation steps.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Posture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Prerequisites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Launch Now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Add disclaimers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Planning &amp; estimation tool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System of Record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Gap 3 (defaults) + Gap 4 (sign-off)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Actual CBAM tax filings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Global Scale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Gap 1 (performance) + Gap 2 (security)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Multi-tenant production SaaS</w:t>
            </w:r>
          </w:p>
        </w:tc>
      </w:tr>
    </w:tbl>
    <w:p>
      <w:r>
        <w:br w:type="page"/>
      </w:r>
    </w:p>
    <w:p>
      <w:pPr>
        <w:pStyle w:val="Heading1"/>
      </w:pPr>
      <w:r>
        <w:t>Section 1: Verified Capabilities</w:t>
      </w:r>
    </w:p>
    <w:p>
      <w:r>
        <w:t>The following capabilities have been independently verified with per-row reconciliation against hand-built answer keys: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Carbon factor application (direct-only vs direct+indirect by sector)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Steel/Al direct, Cement/Fert both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CBAM cost netting against domestic carbon prices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Carbon price floor, €75 reference, boundary cases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EU/EEA origin exemptions (Iceland, Liechtenstein, Norway, Switzerland)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XF-03/04/05/06, EX-03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EU-27 destination scope (EFTA excluded from destination list)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EX-03 Switzerland destination fix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Transitional → Definitive phase boundary (pre-2026 = €0)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DT-01 through DT-06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50-tonne de minimis threshold (row-level, sector-aware)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threshold_A and threshold_B CSVs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Phase-in year toggle (2.5% / 5% / 100%)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Dashboard reconciliation across all three views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Plausibility bounds (50 t/t, sector-scoped)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IN-06 steel indirect correctly ignored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Input sanitisation (Inf, NaN, negatives, formula injection)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Full edge-case suite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Duplicate ID detection (case + whitespace insensitive)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EDGE-DUP variants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CN code validation (including 2507 cement scope)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SC-05 calcined kaolinic clay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ESG scoring (data quality, lead time, geopolitical, supplier risk)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ES-00/11/12 spread (10/5/0 points)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Missing-field flagging without blocking math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Design-intentional flag-but-don't-exclude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✓ Verified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Dashboard ↔ CSV export reconciliation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Both v2 and v3 datasets, to the kilogram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✓ Verified</w:t>
            </w:r>
          </w:p>
        </w:tc>
      </w:tr>
    </w:tbl>
    <w:p>
      <w:r>
        <w:br w:type="page"/>
      </w:r>
    </w:p>
    <w:p>
      <w:pPr>
        <w:pStyle w:val="Heading1"/>
      </w:pPr>
      <w:r>
        <w:t>Section 2: Gap Analysis</w:t>
      </w:r>
    </w:p>
    <w:p>
      <w:pPr>
        <w:pStyle w:val="Heading2"/>
      </w:pPr>
      <w:r>
        <w:t>Gap 1: Scale Testing</w:t>
      </w:r>
    </w:p>
    <w:p>
      <w:r>
        <w:rPr>
          <w:b/>
        </w:rPr>
        <w:t xml:space="preserve">Risk Level: </w:t>
      </w:r>
      <w:r>
        <w:rPr>
          <w:b/>
          <w:color w:val="F0AD4E"/>
        </w:rPr>
        <w:t>MEDIUM</w:t>
      </w:r>
    </w:p>
    <w:p>
      <w:r>
        <w:t>All testing capped at approximately 120 rows. There is no signal on correctness or performance at real-world scale.</w:t>
      </w:r>
    </w:p>
    <w:p>
      <w:pPr>
        <w:pStyle w:val="Heading3"/>
      </w:pPr>
      <w:r>
        <w:t>What 'real-world' looks like:</w:t>
      </w:r>
    </w:p>
    <w:p>
      <w:pPr>
        <w:pStyle w:val="ListBullet"/>
      </w:pPr>
      <w:r>
        <w:t>A mid-size EU importer: 2,000–10,000 BOM line items per year</w:t>
      </w:r>
    </w:p>
    <w:p>
      <w:pPr>
        <w:pStyle w:val="ListBullet"/>
      </w:pPr>
      <w:r>
        <w:t>A large manufacturer: 50,000+ across multiple plants</w:t>
      </w:r>
    </w:p>
    <w:p>
      <w:pPr>
        <w:pStyle w:val="ListBullet"/>
      </w:pPr>
      <w:r>
        <w:t>Concurrent API users uploading simultaneously</w:t>
      </w:r>
    </w:p>
    <w:p>
      <w:pPr>
        <w:pStyle w:val="Heading3"/>
      </w:pPr>
      <w:r>
        <w:t>Recommended Actions:</w:t>
      </w:r>
    </w:p>
    <w:p>
      <w:pPr>
        <w:pStyle w:val="ListBullet"/>
        <w:spacing w:after="80"/>
      </w:pPr>
      <w:r>
        <w:rPr>
          <w:sz w:val="20"/>
        </w:rPr>
        <w:t>☐ Generate a 10,000-row synthetic BOM with realistic distributions and verify totals reconcile</w:t>
      </w:r>
    </w:p>
    <w:p>
      <w:pPr>
        <w:pStyle w:val="ListBullet"/>
        <w:spacing w:after="80"/>
      </w:pPr>
      <w:r>
        <w:rPr>
          <w:sz w:val="20"/>
        </w:rPr>
        <w:t>☐ Profile process_bom() execution time and memory at 10K / 50K / 100K rows</w:t>
      </w:r>
    </w:p>
    <w:p>
      <w:pPr>
        <w:pStyle w:val="ListBullet"/>
        <w:spacing w:after="80"/>
      </w:pPr>
      <w:r>
        <w:rPr>
          <w:sz w:val="20"/>
        </w:rPr>
        <w:t>☐ Load-test the /api/v1/materials/bom-analyze endpoint with concurrent uploads</w:t>
      </w:r>
    </w:p>
    <w:p>
      <w:pPr>
        <w:pStyle w:val="ListBullet"/>
        <w:spacing w:after="80"/>
      </w:pPr>
      <w:r>
        <w:rPr>
          <w:sz w:val="20"/>
        </w:rPr>
        <w:t>☐ Add streaming/chunked processing if single-file memory exceeds acceptable limits</w:t>
      </w:r>
    </w:p>
    <w:p/>
    <w:p>
      <w:pPr>
        <w:pStyle w:val="Heading2"/>
      </w:pPr>
      <w:r>
        <w:t>Gap 2: Security Beyond the Data Layer</w:t>
      </w:r>
    </w:p>
    <w:p>
      <w:r>
        <w:rPr>
          <w:b/>
        </w:rPr>
        <w:t xml:space="preserve">Risk Level: </w:t>
      </w:r>
      <w:r>
        <w:rPr>
          <w:b/>
          <w:color w:val="F0AD4E"/>
        </w:rPr>
        <w:t>MEDIUM</w:t>
      </w:r>
    </w:p>
    <w:p>
      <w:r>
        <w:t>CSV-injection and input sanitisation are verified. Authentication, authorization, data isolation, and API hardening are untested. For a tool handling confidential supplier and pricing data, this is not optional before a global launch.</w:t>
      </w:r>
    </w:p>
    <w:p>
      <w:pPr>
        <w:pStyle w:val="Heading3"/>
      </w:pPr>
      <w:r>
        <w:t>Recommended Actions:</w:t>
      </w:r>
    </w:p>
    <w:p>
      <w:pPr>
        <w:pStyle w:val="ListBullet"/>
        <w:spacing w:after="80"/>
      </w:pPr>
      <w:r>
        <w:rPr>
          <w:sz w:val="20"/>
        </w:rPr>
        <w:t>☐ Pen-test the API endpoints (auth bypass, IDOR, rate limiting under load)</w:t>
      </w:r>
    </w:p>
    <w:p>
      <w:pPr>
        <w:pStyle w:val="ListBullet"/>
        <w:spacing w:after="80"/>
      </w:pPr>
      <w:r>
        <w:rPr>
          <w:sz w:val="20"/>
        </w:rPr>
        <w:t>☐ Verify tenant data isolation — one customer's BOM must never leak to another</w:t>
      </w:r>
    </w:p>
    <w:p>
      <w:pPr>
        <w:pStyle w:val="ListBullet"/>
        <w:spacing w:after="80"/>
      </w:pPr>
      <w:r>
        <w:rPr>
          <w:sz w:val="20"/>
        </w:rPr>
        <w:t>☐ Audit token handling, session management, and credential storage</w:t>
      </w:r>
    </w:p>
    <w:p>
      <w:pPr>
        <w:pStyle w:val="ListBullet"/>
        <w:spacing w:after="80"/>
      </w:pPr>
      <w:r>
        <w:rPr>
          <w:sz w:val="20"/>
        </w:rPr>
        <w:t>☐ Review CORS, CSP headers, and HTTPS enforcement</w:t>
      </w:r>
    </w:p>
    <w:p>
      <w:pPr>
        <w:pStyle w:val="ListBullet"/>
        <w:spacing w:after="80"/>
      </w:pPr>
      <w:r>
        <w:rPr>
          <w:sz w:val="20"/>
        </w:rPr>
        <w:t>☐ Confirm GDPR compliance for storing supplier names, pricing, and country data</w:t>
      </w:r>
    </w:p>
    <w:p/>
    <w:p>
      <w:pPr>
        <w:pStyle w:val="Heading2"/>
      </w:pPr>
      <w:r>
        <w:t>Gap 3: Default Values Are Outdated</w:t>
      </w:r>
    </w:p>
    <w:p>
      <w:r>
        <w:rPr>
          <w:b/>
        </w:rPr>
        <w:t xml:space="preserve">Risk Level: </w:t>
      </w:r>
      <w:r>
        <w:rPr>
          <w:b/>
          <w:color w:val="DC2626"/>
        </w:rPr>
        <w:t>CRITICAL</w:t>
      </w:r>
    </w:p>
    <w:p>
      <w:pPr>
        <w:spacing w:before="120" w:after="120"/>
        <w:shd w:val="clear" w:color="auto" w:fill="FFF3CD"/>
      </w:pPr>
      <w:r>
        <w:rPr>
          <w:b/>
          <w:color w:val="856304"/>
          <w:sz w:val="20"/>
        </w:rPr>
        <w:t>⚠  HIGHEST PRIORITY — The definitive CBAM period started 1 January 2026. The fallback factors in the engine (steel 2.01, hydrogen 10.4, etc.) are transitional-period values from 2023. The Commission has published new country- and product-specific defaults with mandatory markups: +10% in 2026, +20% in 2027, +30% in 2028. Any company relying on fallback values will systematically understate their CBAM liability.</w:t>
      </w:r>
    </w:p>
    <w:p>
      <w:pPr>
        <w:pStyle w:val="Heading3"/>
      </w:pPr>
      <w:r>
        <w:t>Impact: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Markup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Example: Steel Default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2025 (transitional)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2.01 t/t (current engine value)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2026 (definitive)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~2.21 t/t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2027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+20%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~2.41 t/t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+30%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~2.61 t/t</w:t>
            </w:r>
          </w:p>
        </w:tc>
      </w:tr>
    </w:tbl>
    <w:p/>
    <w:p>
      <w:pPr>
        <w:pStyle w:val="Heading3"/>
      </w:pPr>
      <w:r>
        <w:t>Recommended Architecture:</w:t>
      </w:r>
    </w:p>
    <w:p>
      <w:r>
        <w:t>The hardcoded FALLBACK_CARBON_FACTORS dictionary should be replaced with a database-backed lookup pipeline:</w:t>
      </w:r>
    </w:p>
    <w:p>
      <w:pPr>
        <w:pStyle w:val="ListBullet"/>
      </w:pPr>
      <w:r>
        <w:rPr>
          <w:b/>
          <w:sz w:val="20"/>
        </w:rPr>
        <w:t xml:space="preserve">Data Source: </w:t>
      </w:r>
      <w:r>
        <w:rPr>
          <w:sz w:val="20"/>
        </w:rPr>
        <w:t>Commission-published Excel files containing country × CN code × year default values</w:t>
      </w:r>
    </w:p>
    <w:p>
      <w:pPr>
        <w:pStyle w:val="ListBullet"/>
      </w:pPr>
      <w:r>
        <w:rPr>
          <w:b/>
          <w:sz w:val="20"/>
        </w:rPr>
        <w:t xml:space="preserve">ETL Pipeline: </w:t>
      </w:r>
      <w:r>
        <w:rPr>
          <w:sz w:val="20"/>
        </w:rPr>
        <w:t>A script or admin endpoint that ingests these Excel files into a cbam_defaults database table</w:t>
      </w:r>
    </w:p>
    <w:p>
      <w:pPr>
        <w:pStyle w:val="ListBullet"/>
      </w:pPr>
      <w:r>
        <w:rPr>
          <w:b/>
          <w:sz w:val="20"/>
        </w:rPr>
        <w:t xml:space="preserve">Database Table: </w:t>
      </w:r>
      <w:r>
        <w:rPr>
          <w:sz w:val="20"/>
        </w:rPr>
        <w:t>Keyed on (cn_code_prefix, origin_country, year), with the year-specific markup already applied</w:t>
      </w:r>
    </w:p>
    <w:p>
      <w:pPr>
        <w:pStyle w:val="ListBullet"/>
      </w:pPr>
      <w:r>
        <w:rPr>
          <w:b/>
          <w:sz w:val="20"/>
        </w:rPr>
        <w:t xml:space="preserve">Runtime Lookup: </w:t>
      </w:r>
      <w:r>
        <w:rPr>
          <w:sz w:val="20"/>
        </w:rPr>
        <w:t>process_bom() queries this table first; falls back to the hardcoded dict only if the CN/country combo is missing</w:t>
      </w:r>
    </w:p>
    <w:p>
      <w:pPr>
        <w:pStyle w:val="ListBullet"/>
      </w:pPr>
      <w:r>
        <w:rPr>
          <w:b/>
          <w:sz w:val="20"/>
        </w:rPr>
        <w:t xml:space="preserve">Audit Column: </w:t>
      </w:r>
      <w:r>
        <w:rPr>
          <w:sz w:val="20"/>
        </w:rPr>
        <w:t>New Emissions_Source values: COMMISSION_DEFAULT vs SUPPLIED vs LEGACY_FALLBACK</w:t>
      </w:r>
    </w:p>
    <w:p>
      <w:pPr>
        <w:pStyle w:val="ListBullet"/>
      </w:pPr>
      <w:r>
        <w:rPr>
          <w:b/>
          <w:sz w:val="20"/>
        </w:rPr>
        <w:t xml:space="preserve">Staleness Check: </w:t>
      </w:r>
      <w:r>
        <w:rPr>
          <w:sz w:val="20"/>
        </w:rPr>
        <w:t>Warn if the defaults table hasn't been refreshed in &gt;90 days</w:t>
      </w:r>
    </w:p>
    <w:p>
      <w:pPr>
        <w:pStyle w:val="Heading3"/>
      </w:pPr>
      <w:r>
        <w:t>Action Items:</w:t>
      </w:r>
    </w:p>
    <w:p>
      <w:pPr>
        <w:pStyle w:val="ListBullet"/>
        <w:spacing w:after="80"/>
      </w:pPr>
      <w:r>
        <w:rPr>
          <w:sz w:val="20"/>
        </w:rPr>
        <w:t>☐ Download the Commission's current definitive-period default value Excel files</w:t>
      </w:r>
    </w:p>
    <w:p>
      <w:pPr>
        <w:pStyle w:val="ListBullet"/>
        <w:spacing w:after="80"/>
      </w:pPr>
      <w:r>
        <w:rPr>
          <w:sz w:val="20"/>
        </w:rPr>
        <w:t>☐ Build a cbam_defaults database table keyed on (cn_code_prefix, origin_country, year)</w:t>
      </w:r>
    </w:p>
    <w:p>
      <w:pPr>
        <w:pStyle w:val="ListBullet"/>
        <w:spacing w:after="80"/>
      </w:pPr>
      <w:r>
        <w:rPr>
          <w:sz w:val="20"/>
        </w:rPr>
        <w:t>☐ Apply the year-specific markup (+10%/+20%/+30%) automatically</w:t>
      </w:r>
    </w:p>
    <w:p>
      <w:pPr>
        <w:pStyle w:val="ListBullet"/>
        <w:spacing w:after="80"/>
      </w:pPr>
      <w:r>
        <w:rPr>
          <w:sz w:val="20"/>
        </w:rPr>
        <w:t>☐ Modify process_bom() to query this table first, falling back to the dict as last resort</w:t>
      </w:r>
    </w:p>
    <w:p>
      <w:pPr>
        <w:pStyle w:val="ListBullet"/>
        <w:spacing w:after="80"/>
      </w:pPr>
      <w:r>
        <w:rPr>
          <w:sz w:val="20"/>
        </w:rPr>
        <w:t>☐ Build an admin endpoint or script to re-import when the Commission publishes updates</w:t>
      </w:r>
    </w:p>
    <w:p>
      <w:pPr>
        <w:pStyle w:val="ListBullet"/>
        <w:spacing w:after="80"/>
      </w:pPr>
      <w:r>
        <w:rPr>
          <w:sz w:val="20"/>
        </w:rPr>
        <w:t>☐ Add a staleness check: warn if defaults haven't been refreshed in &gt;90 days</w:t>
      </w:r>
    </w:p>
    <w:p/>
    <w:p>
      <w:pPr>
        <w:pStyle w:val="Heading2"/>
      </w:pPr>
      <w:r>
        <w:t>Gap 4: External Regulatory Sign-Off</w:t>
      </w:r>
    </w:p>
    <w:p>
      <w:r>
        <w:rPr>
          <w:b/>
        </w:rPr>
        <w:t xml:space="preserve">Risk Level: </w:t>
      </w:r>
      <w:r>
        <w:rPr>
          <w:b/>
          <w:color w:val="DC2626"/>
        </w:rPr>
        <w:t>HIGH</w:t>
      </w:r>
    </w:p>
    <w:p>
      <w:r>
        <w:t>All testing was adversarial QA using invented data and general knowledge — not a customs lawyer's or CBAM verifier's review. The definitive period now requires mandatory third-party verification by an accredited CBAM verifier for the data a company actually files.</w:t>
      </w:r>
    </w:p>
    <w:p>
      <w:pPr>
        <w:pStyle w:val="Heading3"/>
      </w:pPr>
      <w:r>
        <w:t>Specific Uncertainties Flagged During Testing:</w:t>
      </w:r>
    </w:p>
    <w:p>
      <w:pPr>
        <w:pStyle w:val="ListBullet"/>
      </w:pPr>
      <w:r>
        <w:t>Whether iron ore and calcined kaolinic clay definitively fall under Annex I scope (best-guess inclusion)</w:t>
      </w:r>
    </w:p>
    <w:p>
      <w:pPr>
        <w:pStyle w:val="ListBullet"/>
      </w:pPr>
      <w:r>
        <w:t>The exact boundary between 'reporting-only' and 'financially liable' for edge-case dates</w:t>
      </w:r>
    </w:p>
    <w:p>
      <w:pPr>
        <w:pStyle w:val="ListBullet"/>
      </w:pPr>
      <w:r>
        <w:t>Whether the 50t de minimis threshold applies per-importer or per-declarant</w:t>
      </w:r>
    </w:p>
    <w:p>
      <w:pPr>
        <w:pStyle w:val="Heading3"/>
      </w:pPr>
      <w:r>
        <w:t>Action Items:</w:t>
      </w:r>
    </w:p>
    <w:p>
      <w:pPr>
        <w:pStyle w:val="ListBullet"/>
        <w:spacing w:after="80"/>
      </w:pPr>
      <w:r>
        <w:rPr>
          <w:sz w:val="20"/>
        </w:rPr>
        <w:t>☐ Engage a qualified CBAM advisor or trade-compliance firm to review the rule implementation</w:t>
      </w:r>
    </w:p>
    <w:p>
      <w:pPr>
        <w:pStyle w:val="ListBullet"/>
        <w:spacing w:after="80"/>
      </w:pPr>
      <w:r>
        <w:rPr>
          <w:sz w:val="20"/>
        </w:rPr>
        <w:t>☐ Cross-reference all CN code scope decisions against the official Annex I list</w:t>
      </w:r>
    </w:p>
    <w:p>
      <w:pPr>
        <w:pStyle w:val="ListBullet"/>
        <w:spacing w:after="80"/>
      </w:pPr>
      <w:r>
        <w:rPr>
          <w:sz w:val="20"/>
        </w:rPr>
        <w:t>☐ Add prominent disclaimers: 'For planning purposes only — not a substitute for professional CBAM advice'</w:t>
      </w:r>
    </w:p>
    <w:p>
      <w:pPr>
        <w:pStyle w:val="ListBullet"/>
        <w:spacing w:after="80"/>
      </w:pPr>
      <w:r>
        <w:rPr>
          <w:sz w:val="20"/>
        </w:rPr>
        <w:t>☐ Consider a 'compliance mode' toggle that adds conservative assumptions and flags all uncertainties</w:t>
      </w:r>
    </w:p>
    <w:p>
      <w:r>
        <w:br w:type="page"/>
      </w:r>
    </w:p>
    <w:p>
      <w:pPr>
        <w:pStyle w:val="Heading1"/>
      </w:pPr>
      <w:r>
        <w:t>Section 3: Scope Decision — EU-Only vs Multi-Jurisdiction</w:t>
      </w:r>
    </w:p>
    <w:p>
      <w:r>
        <w:t>The current engine covers EU CBAM only, which already applies to any exporter worldwide shipping into the EU-27. 'Global' customer reach is inherent to the current feature.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Jurisdiction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EU CBAM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Definitive period live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January 2026 →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UK CBAM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Announced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January 2027 →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Australia CBAM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Under consideration</w:t>
            </w:r>
          </w:p>
        </w:tc>
        <w:tc>
          <w:tcPr>
            <w:tcW w:type="dxa" w:w="3135"/>
            <w:shd w:val="clear" w:color="auto" w:fill="f0f4f8"/>
          </w:tcPr>
          <w:p>
            <w:r>
              <w:rPr>
                <w:sz w:val="20"/>
              </w:rPr>
              <w:t>TBD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Canada CBAM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Under study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TBD</w:t>
            </w:r>
          </w:p>
        </w:tc>
      </w:tr>
    </w:tbl>
    <w:p/>
    <w:p>
      <w:pPr>
        <w:spacing w:before="120" w:after="120"/>
        <w:shd w:val="clear" w:color="auto" w:fill="DBEAFE"/>
      </w:pPr>
      <w:r>
        <w:rPr>
          <w:b/>
          <w:color w:val="856304"/>
          <w:sz w:val="20"/>
        </w:rPr>
        <w:t>ℹ  Adding UK CBAM support is new functionality requiring separate carbon pricing references, different CN/HS code mappings, and UK-specific exemption rules. It should not block EU launch but should be planned as a distinct feature track sharing the same database-backed architecture.</w:t>
      </w:r>
    </w:p>
    <w:p>
      <w:r>
        <w:br w:type="page"/>
      </w:r>
    </w:p>
    <w:p>
      <w:pPr>
        <w:pStyle w:val="Heading1"/>
      </w:pPr>
      <w:r>
        <w:t>Section 4: Recommended Launch Posture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Prerequisites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Launch Now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Add disclaimers to the UI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Planning &amp; estimation tool, supplier risk assessment, internal budgeting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Immediate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System of Record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Gap 3 (current defaults) + Gap 4 (regulatory sign-off)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Actual CBAM tax filings submitted to EU customs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4–8 weeks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Global Scale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Gap 1 (performance) + Gap 2 (security hardening)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Multi-tenant production SaaS with concurrent users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8–12 weeks</w:t>
            </w:r>
          </w:p>
        </w:tc>
      </w:tr>
    </w:tbl>
    <w:p/>
    <w:p>
      <w:r>
        <w:rPr>
          <w:b/>
          <w:sz w:val="24"/>
        </w:rPr>
        <w:t xml:space="preserve">Bottom Line: </w:t>
      </w:r>
      <w:r>
        <w:rPr>
          <w:sz w:val="22"/>
        </w:rPr>
        <w:t>The engine is trustworthy for what was tested. It should not calculate numbers a real company submits to EU customs until the default-value source is current and someone with real CBAM authority has signed off on it.</w:t>
      </w:r>
    </w:p>
    <w:p/>
    <w:p/>
    <w:p>
      <w:pPr>
        <w:jc w:val="center"/>
      </w:pPr>
      <w:r>
        <w:rPr>
          <w:i/>
          <w:color w:val="94A3B8"/>
          <w:sz w:val="20"/>
        </w:rPr>
        <w:t>— End of Document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