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5A5A5A"/>
          <w:spacing w:val="40"/>
          <w:sz w:val="18"/>
          <w:szCs w:val="18"/>
        </w:rPr>
        <w:t xml:space="preserve">BUSINESS BRIEF</w:t>
      </w:r>
    </w:p>
    <w:p>
      <w:pPr>
        <w:spacing w:after="60" w:before="0"/>
      </w:pPr>
      <w:r>
        <w:rPr>
          <w:rFonts w:ascii="Calibri" w:cs="Calibri" w:eastAsia="Calibri" w:hAnsi="Calibri"/>
          <w:b/>
          <w:bCs/>
          <w:color w:val="0E4A8A"/>
          <w:sz w:val="44"/>
          <w:szCs w:val="44"/>
        </w:rPr>
        <w:t xml:space="preserve">Kagen Ontology Builder</w:t>
      </w:r>
    </w:p>
    <w:p>
      <w:pPr>
        <w:pBdr>
          <w:bottom w:val="single" w:color="0E4A8A" w:sz="8" w:space="6"/>
        </w:pBdr>
        <w:spacing w:after="200" w:before="0"/>
      </w:pPr>
      <w:r>
        <w:rPr>
          <w:rFonts w:ascii="Calibri" w:cs="Calibri" w:eastAsia="Calibri" w:hAnsi="Calibri"/>
          <w:i/>
          <w:iCs/>
          <w:color w:val="5A5A5A"/>
          <w:sz w:val="22"/>
          <w:szCs w:val="22"/>
        </w:rPr>
        <w:t xml:space="preserve">A semantic knowledge graph over your structured data estate. Kagen harvests schemas, samples, and metadata across warehouses, lakes, and SaaS systems; infers a typed business ontology with cross-system foreign keys; and lets analysts question the unified model in plain English with full lineage and citations.</w:t>
      </w:r>
    </w:p>
    <w:p>
      <w:pPr>
        <w:pStyle w:val="Heading1"/>
        <w:pBdr>
          <w:bottom w:val="single" w:color="0E4A8A" w:sz="8" w:space="4"/>
        </w:pBdr>
        <w:spacing w:after="160" w:before="360"/>
      </w:pPr>
      <w:r>
        <w:rPr>
          <w:rFonts w:ascii="Calibri" w:cs="Calibri" w:eastAsia="Calibri" w:hAnsi="Calibri"/>
          <w:b/>
          <w:bCs/>
          <w:color w:val="0E4A8A"/>
          <w:sz w:val="30"/>
          <w:szCs w:val="30"/>
        </w:rPr>
        <w:t xml:space="preserve">1. Executive Summary</w:t>
      </w:r>
    </w:p>
    <w:p>
      <w:pPr>
        <w:spacing w:after="60" w:before="60" w:line="300"/>
      </w:pPr>
      <w:r>
        <w:rPr>
          <w:rFonts w:ascii="Calibri" w:cs="Calibri" w:eastAsia="Calibri" w:hAnsi="Calibri"/>
          <w:color w:val="1A1A1A"/>
          <w:sz w:val="22"/>
          <w:szCs w:val="22"/>
        </w:rPr>
        <w:t xml:space="preserve">Most enterprises already have the data they need to answer their hardest questions. What they lack is a single, trustworthy semantic model on top of it. Tables sit in Snowflake, Postgres, and a lake; metric definitions live in BI dashboards and the heads of analysts; foreign keys across systems are tribal knowledge; data catalogs document column names but not meaning. Every new question becomes an integration project.</w:t>
      </w:r>
    </w:p>
    <w:p>
      <w:pPr>
        <w:spacing w:after="60" w:before="60" w:line="300"/>
      </w:pPr>
      <w:r>
        <w:rPr>
          <w:rFonts w:ascii="Calibri" w:cs="Calibri" w:eastAsia="Calibri" w:hAnsi="Calibri"/>
          <w:color w:val="1A1A1A"/>
          <w:sz w:val="22"/>
          <w:szCs w:val="22"/>
        </w:rPr>
        <w:t xml:space="preserve">Kagen Ontology Builder collapses that work. Agentic harvesters connect to your warehouses, lakes, and operational systems; profile every column; infer cross-system foreign keys and entity hierarchies; map columns to a curated business glossary; and materialize the result as a live semantic knowledge graph. Business users then ask questions in plain English — Kagen plans the traversal, joins across systems through the inferred keys, and returns answers as narratives, tables, charts, or full reports with column-level lineage attached to every claim.</w:t>
      </w:r>
    </w:p>
    <w:p>
      <w:pPr>
        <w:spacing w:after="60" w:before="60" w:line="300"/>
      </w:pPr>
      <w:r>
        <w:rPr>
          <w:rFonts w:ascii="Calibri" w:cs="Calibri" w:eastAsia="Calibri" w:hAnsi="Calibri"/>
          <w:color w:val="1A1A1A"/>
          <w:sz w:val="22"/>
          <w:szCs w:val="22"/>
        </w:rPr>
        <w:t xml:space="preserve">The platform replaces months of bespoke modeling, brittle semantic layers, and stale catalog entries with a single, auditable, self-improving semantic surface.</w:t>
      </w:r>
    </w:p>
    <w:p>
      <w:pPr>
        <w:pStyle w:val="Heading1"/>
        <w:pBdr>
          <w:bottom w:val="single" w:color="0E4A8A" w:sz="8" w:space="4"/>
        </w:pBdr>
        <w:spacing w:after="160" w:before="360"/>
      </w:pPr>
      <w:r>
        <w:rPr>
          <w:rFonts w:ascii="Calibri" w:cs="Calibri" w:eastAsia="Calibri" w:hAnsi="Calibri"/>
          <w:b/>
          <w:bCs/>
          <w:color w:val="0E4A8A"/>
          <w:sz w:val="30"/>
          <w:szCs w:val="30"/>
        </w:rPr>
        <w:t xml:space="preserve">2. The Problem We Solve</w:t>
      </w:r>
    </w:p>
    <w:p>
      <w:pPr>
        <w:pStyle w:val="ListParagraph"/>
        <w:numPr>
          <w:ilvl w:val="0"/>
          <w:numId w:val="2"/>
        </w:numPr>
        <w:spacing w:after="40" w:before="40" w:line="300"/>
      </w:pPr>
      <w:r>
        <w:rPr>
          <w:rFonts w:ascii="Calibri" w:cs="Calibri" w:eastAsia="Calibri" w:hAnsi="Calibri"/>
          <w:b/>
          <w:bCs/>
          <w:color w:val="1A1A1A"/>
          <w:sz w:val="22"/>
          <w:szCs w:val="22"/>
        </w:rPr>
        <w:t xml:space="preserve">Schemas without semantics. </w:t>
      </w:r>
      <w:r>
        <w:rPr>
          <w:rFonts w:ascii="Calibri" w:cs="Calibri" w:eastAsia="Calibri" w:hAnsi="Calibri"/>
          <w:color w:val="1A1A1A"/>
          <w:sz w:val="22"/>
          <w:szCs w:val="22"/>
        </w:rPr>
        <w:t xml:space="preserve">Warehouses know that a column is VARCHAR(64); they do not know it is a customer identifier that joins to three other systems.</w:t>
      </w:r>
    </w:p>
    <w:p>
      <w:pPr>
        <w:pStyle w:val="ListParagraph"/>
        <w:numPr>
          <w:ilvl w:val="0"/>
          <w:numId w:val="2"/>
        </w:numPr>
        <w:spacing w:after="40" w:before="40" w:line="300"/>
      </w:pPr>
      <w:r>
        <w:rPr>
          <w:rFonts w:ascii="Calibri" w:cs="Calibri" w:eastAsia="Calibri" w:hAnsi="Calibri"/>
          <w:b/>
          <w:bCs/>
          <w:color w:val="1A1A1A"/>
          <w:sz w:val="22"/>
          <w:szCs w:val="22"/>
        </w:rPr>
        <w:t xml:space="preserve">Tribal foreign keys. </w:t>
      </w:r>
      <w:r>
        <w:rPr>
          <w:rFonts w:ascii="Calibri" w:cs="Calibri" w:eastAsia="Calibri" w:hAnsi="Calibri"/>
          <w:color w:val="1A1A1A"/>
          <w:sz w:val="22"/>
          <w:szCs w:val="22"/>
        </w:rPr>
        <w:t xml:space="preserve">The keys that join orders to invoices to support tickets exist in senior analysts' heads, not in any catalog.</w:t>
      </w:r>
    </w:p>
    <w:p>
      <w:pPr>
        <w:pStyle w:val="ListParagraph"/>
        <w:numPr>
          <w:ilvl w:val="0"/>
          <w:numId w:val="2"/>
        </w:numPr>
        <w:spacing w:after="40" w:before="40" w:line="300"/>
      </w:pPr>
      <w:r>
        <w:rPr>
          <w:rFonts w:ascii="Calibri" w:cs="Calibri" w:eastAsia="Calibri" w:hAnsi="Calibri"/>
          <w:b/>
          <w:bCs/>
          <w:color w:val="1A1A1A"/>
          <w:sz w:val="22"/>
          <w:szCs w:val="22"/>
        </w:rPr>
        <w:t xml:space="preserve">Diverging metric definitions. </w:t>
      </w:r>
      <w:r>
        <w:rPr>
          <w:rFonts w:ascii="Calibri" w:cs="Calibri" w:eastAsia="Calibri" w:hAnsi="Calibri"/>
          <w:color w:val="1A1A1A"/>
          <w:sz w:val="22"/>
          <w:szCs w:val="22"/>
        </w:rPr>
        <w:t xml:space="preserve">Every BI tool, dashboard, and notebook has its own version of "active customer" or "net revenue." Numbers do not reconcile across the business.</w:t>
      </w:r>
    </w:p>
    <w:p>
      <w:pPr>
        <w:pStyle w:val="ListParagraph"/>
        <w:numPr>
          <w:ilvl w:val="0"/>
          <w:numId w:val="2"/>
        </w:numPr>
        <w:spacing w:after="40" w:before="40" w:line="300"/>
      </w:pPr>
      <w:r>
        <w:rPr>
          <w:rFonts w:ascii="Calibri" w:cs="Calibri" w:eastAsia="Calibri" w:hAnsi="Calibri"/>
          <w:b/>
          <w:bCs/>
          <w:color w:val="1A1A1A"/>
          <w:sz w:val="22"/>
          <w:szCs w:val="22"/>
        </w:rPr>
        <w:t xml:space="preserve">Stale catalogs. </w:t>
      </w:r>
      <w:r>
        <w:rPr>
          <w:rFonts w:ascii="Calibri" w:cs="Calibri" w:eastAsia="Calibri" w:hAnsi="Calibri"/>
          <w:color w:val="1A1A1A"/>
          <w:sz w:val="22"/>
          <w:szCs w:val="22"/>
        </w:rPr>
        <w:t xml:space="preserve">Conventional data catalogs require manual curation; coverage decays the moment teams move on to the next project.</w:t>
      </w:r>
    </w:p>
    <w:p>
      <w:pPr>
        <w:pStyle w:val="ListParagraph"/>
        <w:numPr>
          <w:ilvl w:val="0"/>
          <w:numId w:val="2"/>
        </w:numPr>
        <w:spacing w:after="40" w:before="40" w:line="300"/>
      </w:pPr>
      <w:r>
        <w:rPr>
          <w:rFonts w:ascii="Calibri" w:cs="Calibri" w:eastAsia="Calibri" w:hAnsi="Calibri"/>
          <w:b/>
          <w:bCs/>
          <w:color w:val="1A1A1A"/>
          <w:sz w:val="22"/>
          <w:szCs w:val="22"/>
        </w:rPr>
        <w:t xml:space="preserve">Lineage that stops at the warehouse edge. </w:t>
      </w:r>
      <w:r>
        <w:rPr>
          <w:rFonts w:ascii="Calibri" w:cs="Calibri" w:eastAsia="Calibri" w:hAnsi="Calibri"/>
          <w:color w:val="1A1A1A"/>
          <w:sz w:val="22"/>
          <w:szCs w:val="22"/>
        </w:rPr>
        <w:t xml:space="preserve">Lineage tools trace transformations inside one stack but lose the thread when data crosses systems or is described in a contract or policy document.</w:t>
      </w:r>
    </w:p>
    <w:p>
      <w:pPr>
        <w:pStyle w:val="ListParagraph"/>
        <w:numPr>
          <w:ilvl w:val="0"/>
          <w:numId w:val="2"/>
        </w:numPr>
        <w:spacing w:after="40" w:before="40" w:line="300"/>
      </w:pPr>
      <w:r>
        <w:rPr>
          <w:rFonts w:ascii="Calibri" w:cs="Calibri" w:eastAsia="Calibri" w:hAnsi="Calibri"/>
          <w:b/>
          <w:bCs/>
          <w:color w:val="1A1A1A"/>
          <w:sz w:val="22"/>
          <w:szCs w:val="22"/>
        </w:rPr>
        <w:t xml:space="preserve">Brittle semantic layers. </w:t>
      </w:r>
      <w:r>
        <w:rPr>
          <w:rFonts w:ascii="Calibri" w:cs="Calibri" w:eastAsia="Calibri" w:hAnsi="Calibri"/>
          <w:color w:val="1A1A1A"/>
          <w:sz w:val="22"/>
          <w:szCs w:val="22"/>
        </w:rPr>
        <w:t xml:space="preserve">Hand-written semantic models break with every schema change and require specialists to maintain.</w:t>
      </w:r>
    </w:p>
    <w:p>
      <w:pPr>
        <w:pStyle w:val="Heading1"/>
        <w:pBdr>
          <w:bottom w:val="single" w:color="0E4A8A" w:sz="8" w:space="4"/>
        </w:pBdr>
        <w:spacing w:after="160" w:before="360"/>
      </w:pPr>
      <w:r>
        <w:rPr>
          <w:rFonts w:ascii="Calibri" w:cs="Calibri" w:eastAsia="Calibri" w:hAnsi="Calibri"/>
          <w:b/>
          <w:bCs/>
          <w:color w:val="0E4A8A"/>
          <w:sz w:val="30"/>
          <w:szCs w:val="30"/>
        </w:rPr>
        <w:t xml:space="preserve">3. What Kagen Is</w:t>
      </w:r>
    </w:p>
    <w:p>
      <w:pPr>
        <w:spacing w:after="60" w:before="60" w:line="300"/>
      </w:pPr>
      <w:r>
        <w:rPr>
          <w:rFonts w:ascii="Calibri" w:cs="Calibri" w:eastAsia="Calibri" w:hAnsi="Calibri"/>
          <w:color w:val="1A1A1A"/>
          <w:sz w:val="22"/>
          <w:szCs w:val="22"/>
        </w:rPr>
        <w:t xml:space="preserve">A four-layer agentic platform that turns your structured data estate — plus the metadata and governing documents that describe it — into a queryable semantic knowledge graph.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3DD" w:sz="4"/>
              <w:left w:val="single" w:color="C9D3DD" w:sz="4"/>
              <w:bottom w:val="single" w:color="C9D3DD" w:sz="4"/>
              <w:right w:val="single" w:color="C9D3DD" w:sz="4"/>
            </w:tcBorders>
            <w:shd w:fill="E6F0FA" w:val="clear"/>
            <w:tcMar>
              <w:top w:type="dxa" w:w="90"/>
              <w:left w:type="dxa" w:w="130"/>
              <w:bottom w:type="dxa" w:w="90"/>
              <w:right w:type="dxa" w:w="130"/>
            </w:tcMar>
          </w:tcPr>
          <w:p>
            <w:pPr>
              <w:spacing w:after="20" w:before="20"/>
            </w:pPr>
            <w:r>
              <w:rPr>
                <w:rFonts w:ascii="Calibri" w:cs="Calibri" w:eastAsia="Calibri" w:hAnsi="Calibri"/>
                <w:b/>
                <w:bCs/>
                <w:color w:val="0E4A8A"/>
                <w:sz w:val="21"/>
                <w:szCs w:val="21"/>
              </w:rPr>
              <w:t xml:space="preserve">Layer</w:t>
            </w:r>
          </w:p>
        </w:tc>
        <w:tc>
          <w:tcPr>
            <w:tcW w:type="dxa" w:w="6960"/>
            <w:tcBorders>
              <w:top w:val="single" w:color="C9D3DD" w:sz="4"/>
              <w:left w:val="single" w:color="C9D3DD" w:sz="4"/>
              <w:bottom w:val="single" w:color="C9D3DD" w:sz="4"/>
              <w:right w:val="single" w:color="C9D3DD" w:sz="4"/>
            </w:tcBorders>
            <w:shd w:fill="E6F0FA" w:val="clear"/>
            <w:tcMar>
              <w:top w:type="dxa" w:w="90"/>
              <w:left w:type="dxa" w:w="130"/>
              <w:bottom w:type="dxa" w:w="90"/>
              <w:right w:type="dxa" w:w="130"/>
            </w:tcMar>
          </w:tcPr>
          <w:p>
            <w:pPr>
              <w:spacing w:after="20" w:before="20"/>
            </w:pPr>
            <w:r>
              <w:rPr>
                <w:rFonts w:ascii="Calibri" w:cs="Calibri" w:eastAsia="Calibri" w:hAnsi="Calibri"/>
                <w:b/>
                <w:bCs/>
                <w:color w:val="0E4A8A"/>
                <w:sz w:val="21"/>
                <w:szCs w:val="21"/>
              </w:rPr>
              <w:t xml:space="preserve">What it does</w:t>
            </w:r>
          </w:p>
        </w:tc>
      </w:tr>
      <w:tr>
        <w:tc>
          <w:tcPr>
            <w:tcW w:type="dxa" w:w="24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Metadata Harvesters</w:t>
            </w:r>
          </w:p>
        </w:tc>
        <w:tc>
          <w:tcPr>
            <w:tcW w:type="dxa" w:w="69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Agentic connectors crawl warehouses (Snowflake, BigQuery, Redshift, Databricks), relational stores (Postgres, SQL Server, Oracle, MySQL), lakes (S3, ADLS, GCS), SaaS APIs (Salesforce, Workday, ServiceNow, NetSuite, HubSpot), and existing catalogs (Atlan, Collibra, Alation, dbt, Unity Catalog). Pulls schemas, column types, comments, table relationships, owners, tags, sample rows, profiling stats, and lineage where available.</w:t>
            </w:r>
          </w:p>
        </w:tc>
      </w:tr>
      <w:tr>
        <w:tc>
          <w:tcPr>
            <w:tcW w:type="dxa" w:w="24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Profiling &amp; Inference</w:t>
            </w:r>
          </w:p>
        </w:tc>
        <w:tc>
          <w:tcPr>
            <w:tcW w:type="dxa" w:w="69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Statistical profiling on every column — cardinality, null rates, value distributions, format detection, candidate keys. An LLM proposes the typed ontology: business entities, attributes with units, foreign-key edges across systems with confidence scores, and a recommended business-glossary mapping. Falls back to a deterministic profiler when the LLM is offline.</w:t>
            </w:r>
          </w:p>
        </w:tc>
      </w:tr>
      <w:tr>
        <w:tc>
          <w:tcPr>
            <w:tcW w:type="dxa" w:w="24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Semantic Knowledge Graph</w:t>
            </w:r>
          </w:p>
        </w:tc>
        <w:tc>
          <w:tcPr>
            <w:tcW w:type="dxa" w:w="69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A graph store materializes the ontology: every table is a class, every column is a typed attribute, every inferred or declared key is an edge, and every metric is a first-class node with its definition, owner, and lineage. Documents (contracts, policies, runbooks) attach as governing-context nodes that decorate the structured backbone.</w:t>
            </w:r>
          </w:p>
        </w:tc>
      </w:tr>
      <w:tr>
        <w:tc>
          <w:tcPr>
            <w:tcW w:type="dxa" w:w="24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Q&amp;A and Reporting</w:t>
            </w:r>
          </w:p>
        </w:tc>
        <w:tc>
          <w:tcPr>
            <w:tcW w:type="dxa" w:w="69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A planner agent decomposes natural-language questions into graph traversals and federated SQL across the connected systems. Results render as text, tables, charts, or full multi-page reports — every value carries column-level lineage back to the source table and the metric definition that produced it.</w:t>
            </w:r>
          </w:p>
        </w:tc>
      </w:tr>
    </w:tbl>
    <w:p>
      <w:pPr>
        <w:pStyle w:val="Heading1"/>
        <w:pBdr>
          <w:bottom w:val="single" w:color="0E4A8A" w:sz="8" w:space="4"/>
        </w:pBdr>
        <w:spacing w:after="160" w:before="360"/>
      </w:pPr>
      <w:r>
        <w:rPr>
          <w:rFonts w:ascii="Calibri" w:cs="Calibri" w:eastAsia="Calibri" w:hAnsi="Calibri"/>
          <w:b/>
          <w:bCs/>
          <w:color w:val="0E4A8A"/>
          <w:sz w:val="30"/>
          <w:szCs w:val="30"/>
        </w:rPr>
        <w:t xml:space="preserve">4. How It Works</w:t>
      </w:r>
    </w:p>
    <w:p>
      <w:pPr>
        <w:spacing w:after="60" w:before="60" w:line="300"/>
      </w:pPr>
      <w:r>
        <w:rPr>
          <w:rFonts w:ascii="Calibri" w:cs="Calibri" w:eastAsia="Calibri" w:hAnsi="Calibri"/>
          <w:color w:val="1A1A1A"/>
          <w:sz w:val="22"/>
          <w:szCs w:val="22"/>
        </w:rPr>
        <w:t xml:space="preserve">A typical project moves through five phases. The first four are days, not months; the fifth repeats forever and improves with every use.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9D3DD" w:sz="4"/>
              <w:left w:val="single" w:color="C9D3DD" w:sz="4"/>
              <w:bottom w:val="single" w:color="C9D3DD" w:sz="4"/>
              <w:right w:val="single" w:color="C9D3DD" w:sz="4"/>
            </w:tcBorders>
            <w:shd w:fill="E6F0FA" w:val="clear"/>
            <w:tcMar>
              <w:top w:type="dxa" w:w="90"/>
              <w:left w:type="dxa" w:w="130"/>
              <w:bottom w:type="dxa" w:w="90"/>
              <w:right w:type="dxa" w:w="130"/>
            </w:tcMar>
          </w:tcPr>
          <w:p>
            <w:pPr>
              <w:spacing w:after="20" w:before="20"/>
            </w:pPr>
            <w:r>
              <w:rPr>
                <w:rFonts w:ascii="Calibri" w:cs="Calibri" w:eastAsia="Calibri" w:hAnsi="Calibri"/>
                <w:b/>
                <w:bCs/>
                <w:color w:val="0E4A8A"/>
                <w:sz w:val="21"/>
                <w:szCs w:val="21"/>
              </w:rPr>
              <w:t xml:space="preserve">#</w:t>
            </w:r>
          </w:p>
        </w:tc>
        <w:tc>
          <w:tcPr>
            <w:tcW w:type="dxa" w:w="2200"/>
            <w:tcBorders>
              <w:top w:val="single" w:color="C9D3DD" w:sz="4"/>
              <w:left w:val="single" w:color="C9D3DD" w:sz="4"/>
              <w:bottom w:val="single" w:color="C9D3DD" w:sz="4"/>
              <w:right w:val="single" w:color="C9D3DD" w:sz="4"/>
            </w:tcBorders>
            <w:shd w:fill="E6F0FA" w:val="clear"/>
            <w:tcMar>
              <w:top w:type="dxa" w:w="90"/>
              <w:left w:type="dxa" w:w="130"/>
              <w:bottom w:type="dxa" w:w="90"/>
              <w:right w:type="dxa" w:w="130"/>
            </w:tcMar>
          </w:tcPr>
          <w:p>
            <w:pPr>
              <w:spacing w:after="20" w:before="20"/>
            </w:pPr>
            <w:r>
              <w:rPr>
                <w:rFonts w:ascii="Calibri" w:cs="Calibri" w:eastAsia="Calibri" w:hAnsi="Calibri"/>
                <w:b/>
                <w:bCs/>
                <w:color w:val="0E4A8A"/>
                <w:sz w:val="21"/>
                <w:szCs w:val="21"/>
              </w:rPr>
              <w:t xml:space="preserve">Phase</w:t>
            </w:r>
          </w:p>
        </w:tc>
        <w:tc>
          <w:tcPr>
            <w:tcW w:type="dxa" w:w="6360"/>
            <w:tcBorders>
              <w:top w:val="single" w:color="C9D3DD" w:sz="4"/>
              <w:left w:val="single" w:color="C9D3DD" w:sz="4"/>
              <w:bottom w:val="single" w:color="C9D3DD" w:sz="4"/>
              <w:right w:val="single" w:color="C9D3DD" w:sz="4"/>
            </w:tcBorders>
            <w:shd w:fill="E6F0FA" w:val="clear"/>
            <w:tcMar>
              <w:top w:type="dxa" w:w="90"/>
              <w:left w:type="dxa" w:w="130"/>
              <w:bottom w:type="dxa" w:w="90"/>
              <w:right w:type="dxa" w:w="130"/>
            </w:tcMar>
          </w:tcPr>
          <w:p>
            <w:pPr>
              <w:spacing w:after="20" w:before="20"/>
            </w:pPr>
            <w:r>
              <w:rPr>
                <w:rFonts w:ascii="Calibri" w:cs="Calibri" w:eastAsia="Calibri" w:hAnsi="Calibri"/>
                <w:b/>
                <w:bCs/>
                <w:color w:val="0E4A8A"/>
                <w:sz w:val="21"/>
                <w:szCs w:val="21"/>
              </w:rPr>
              <w:t xml:space="preserve">What happens</w:t>
            </w:r>
          </w:p>
        </w:tc>
      </w:tr>
      <w:tr>
        <w:tc>
          <w:tcPr>
            <w:tcW w:type="dxa" w:w="8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1</w:t>
            </w:r>
          </w:p>
        </w:tc>
        <w:tc>
          <w:tcPr>
            <w:tcW w:type="dxa" w:w="22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Connect &amp; Harvest</w:t>
            </w:r>
          </w:p>
        </w:tc>
        <w:tc>
          <w:tcPr>
            <w:tcW w:type="dxa" w:w="63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Point Kagen at sources via SSO or vault credentials. Harvesters pull schemas, column metadata, sample rows, profiling stats, existing catalog tags, and any declared lineage. Incremental sync; change-data-capture where supported.</w:t>
            </w:r>
          </w:p>
        </w:tc>
      </w:tr>
      <w:tr>
        <w:tc>
          <w:tcPr>
            <w:tcW w:type="dxa" w:w="8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2</w:t>
            </w:r>
          </w:p>
        </w:tc>
        <w:tc>
          <w:tcPr>
            <w:tcW w:type="dxa" w:w="22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Profile &amp; Infer</w:t>
            </w:r>
          </w:p>
        </w:tc>
        <w:tc>
          <w:tcPr>
            <w:tcW w:type="dxa" w:w="63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Profilers compute cardinality, null rates, distributions, and format signatures on every column. The Inference Agent proposes the ontology: entities, attributes, units, candidate keys, cross-system foreign keys with confidence, and glossary mappings.</w:t>
            </w:r>
          </w:p>
        </w:tc>
      </w:tr>
      <w:tr>
        <w:tc>
          <w:tcPr>
            <w:tcW w:type="dxa" w:w="8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3</w:t>
            </w:r>
          </w:p>
        </w:tc>
        <w:tc>
          <w:tcPr>
            <w:tcW w:type="dxa" w:w="22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Curate &amp; Govern</w:t>
            </w:r>
          </w:p>
        </w:tc>
        <w:tc>
          <w:tcPr>
            <w:tcW w:type="dxa" w:w="63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Stewards review the proposed ontology in a visual editor. Lock authoritative entities, accept or reject inferred keys, define metrics once, attach PII tags, set ownership, version everything. The same editor handles entity resolution and synonym dictionaries.</w:t>
            </w:r>
          </w:p>
        </w:tc>
      </w:tr>
      <w:tr>
        <w:tc>
          <w:tcPr>
            <w:tcW w:type="dxa" w:w="8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4</w:t>
            </w:r>
          </w:p>
        </w:tc>
        <w:tc>
          <w:tcPr>
            <w:tcW w:type="dxa" w:w="22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Build the Graph</w:t>
            </w:r>
          </w:p>
        </w:tc>
        <w:tc>
          <w:tcPr>
            <w:tcW w:type="dxa" w:w="63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Records and metadata are packed into byte-budgeted episodes and streamed into the graph store. A live D3 canvas renders tables, columns, keys, metrics, and governing documents as the graph forms.</w:t>
            </w:r>
          </w:p>
        </w:tc>
      </w:tr>
      <w:tr>
        <w:tc>
          <w:tcPr>
            <w:tcW w:type="dxa" w:w="8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5</w:t>
            </w:r>
          </w:p>
        </w:tc>
        <w:tc>
          <w:tcPr>
            <w:tcW w:type="dxa" w:w="22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Query &amp; Improve</w:t>
            </w:r>
          </w:p>
        </w:tc>
        <w:tc>
          <w:tcPr>
            <w:tcW w:type="dxa" w:w="63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Users ask in plain English. The planner traverses the semantic graph, federates SQL across the source systems, and renders the answer with column-level lineage. Verifications and corrections feed the Quality &amp; Feedback Agent, which tightens the ontology.</w:t>
            </w:r>
          </w:p>
        </w:tc>
      </w:tr>
    </w:tbl>
    <w:p>
      <w:pPr>
        <w:spacing w:after="80" w:before="80"/>
      </w:pPr>
      <w:r>
        <w:t xml:space="preserve"/>
      </w:r>
    </w:p>
    <w:p>
      <w:pPr>
        <w:pStyle w:val="Heading3"/>
        <w:spacing w:after="80" w:before="160"/>
      </w:pPr>
      <w:r>
        <w:rPr>
          <w:rFonts w:ascii="Calibri" w:cs="Calibri" w:eastAsia="Calibri" w:hAnsi="Calibri"/>
          <w:b/>
          <w:bCs/>
          <w:color w:val="0E4A8A"/>
          <w:sz w:val="23"/>
          <w:szCs w:val="23"/>
        </w:rPr>
        <w:t xml:space="preserve">Architecture sketch</w:t>
      </w:r>
    </w:p>
    <w:p>
      <w:pPr>
        <w:spacing w:after="60" w:before="60" w:line="300"/>
      </w:pPr>
      <w:r>
        <w:rPr>
          <w:rFonts w:ascii="Calibri" w:cs="Calibri" w:eastAsia="Calibri" w:hAnsi="Calibri"/>
          <w:color w:val="1A1A1A"/>
          <w:sz w:val="22"/>
          <w:szCs w:val="22"/>
        </w:rPr>
        <w:t xml:space="preserve">Harvesters → Profiler &amp; Episode Packer → Ontology Inference (LLM) → Graph Builder &amp; Poller → Semantic Knowledge Graph store → Planner Agent → Federated SQL &amp; Graph Retrievers → Renderer (text / table / chart / report) → Application UI. A separate Memory &amp; Feedback service captures verified metric definitions, key acceptances, and glossary edits, and routes them back into the ontology so the system improves with every interaction.</w:t>
      </w:r>
    </w:p>
    <w:p>
      <w:pPr>
        <w:spacing w:after="60" w:before="60" w:line="300"/>
      </w:pPr>
      <w:r>
        <w:rPr>
          <w:rFonts w:ascii="Calibri" w:cs="Calibri" w:eastAsia="Calibri" w:hAnsi="Calibri"/>
          <w:color w:val="1A1A1A"/>
          <w:sz w:val="22"/>
          <w:szCs w:val="22"/>
        </w:rPr>
        <w:t xml:space="preserve">All components are stateless workers behind a Flask API. State lives in the graph store, an object store for harvested artifacts, and a small JSON project registry that rehydrates atomically on boot. SSO, RBAC over the graph, and column-level access controls are first-class.</w:t>
      </w:r>
    </w:p>
    <w:p>
      <w:pPr>
        <w:pStyle w:val="Heading1"/>
        <w:pBdr>
          <w:bottom w:val="single" w:color="0E4A8A" w:sz="8" w:space="4"/>
        </w:pBdr>
        <w:spacing w:after="160" w:before="360"/>
      </w:pPr>
      <w:r>
        <w:rPr>
          <w:rFonts w:ascii="Calibri" w:cs="Calibri" w:eastAsia="Calibri" w:hAnsi="Calibri"/>
          <w:b/>
          <w:bCs/>
          <w:color w:val="0E4A8A"/>
          <w:sz w:val="30"/>
          <w:szCs w:val="30"/>
        </w:rPr>
        <w:t xml:space="preserve">5. Capabilities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3DD" w:sz="4"/>
              <w:left w:val="single" w:color="C9D3DD" w:sz="4"/>
              <w:bottom w:val="single" w:color="C9D3DD" w:sz="4"/>
              <w:right w:val="single" w:color="C9D3DD" w:sz="4"/>
            </w:tcBorders>
            <w:shd w:fill="E6F0FA" w:val="clear"/>
            <w:tcMar>
              <w:top w:type="dxa" w:w="90"/>
              <w:left w:type="dxa" w:w="130"/>
              <w:bottom w:type="dxa" w:w="90"/>
              <w:right w:type="dxa" w:w="130"/>
            </w:tcMar>
          </w:tcPr>
          <w:p>
            <w:pPr>
              <w:spacing w:after="20" w:before="20"/>
            </w:pPr>
            <w:r>
              <w:rPr>
                <w:rFonts w:ascii="Calibri" w:cs="Calibri" w:eastAsia="Calibri" w:hAnsi="Calibri"/>
                <w:b/>
                <w:bCs/>
                <w:color w:val="0E4A8A"/>
                <w:sz w:val="21"/>
                <w:szCs w:val="21"/>
              </w:rPr>
              <w:t xml:space="preserve">Capability</w:t>
            </w:r>
          </w:p>
        </w:tc>
        <w:tc>
          <w:tcPr>
            <w:tcW w:type="dxa" w:w="6360"/>
            <w:tcBorders>
              <w:top w:val="single" w:color="C9D3DD" w:sz="4"/>
              <w:left w:val="single" w:color="C9D3DD" w:sz="4"/>
              <w:bottom w:val="single" w:color="C9D3DD" w:sz="4"/>
              <w:right w:val="single" w:color="C9D3DD" w:sz="4"/>
            </w:tcBorders>
            <w:shd w:fill="E6F0FA" w:val="clear"/>
            <w:tcMar>
              <w:top w:type="dxa" w:w="90"/>
              <w:left w:type="dxa" w:w="130"/>
              <w:bottom w:type="dxa" w:w="90"/>
              <w:right w:type="dxa" w:w="130"/>
            </w:tcMar>
          </w:tcPr>
          <w:p>
            <w:pPr>
              <w:spacing w:after="20" w:before="20"/>
            </w:pPr>
            <w:r>
              <w:rPr>
                <w:rFonts w:ascii="Calibri" w:cs="Calibri" w:eastAsia="Calibri" w:hAnsi="Calibri"/>
                <w:b/>
                <w:bCs/>
                <w:color w:val="0E4A8A"/>
                <w:sz w:val="21"/>
                <w:szCs w:val="21"/>
              </w:rPr>
              <w:t xml:space="preserve">Detail</w:t>
            </w:r>
          </w:p>
        </w:tc>
      </w:tr>
      <w:tr>
        <w:tc>
          <w:tcPr>
            <w:tcW w:type="dxa" w:w="30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Metadata harvest</w:t>
            </w:r>
          </w:p>
        </w:tc>
        <w:tc>
          <w:tcPr>
            <w:tcW w:type="dxa" w:w="63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Schema, column types, table comments, owners, tags, partition info, sample rows, profiling stats, and declared lineage from every connected source.</w:t>
            </w:r>
          </w:p>
        </w:tc>
      </w:tr>
      <w:tr>
        <w:tc>
          <w:tcPr>
            <w:tcW w:type="dxa" w:w="30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Statistical profiling</w:t>
            </w:r>
          </w:p>
        </w:tc>
        <w:tc>
          <w:tcPr>
            <w:tcW w:type="dxa" w:w="63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Per-column cardinality, null rate, min/max, distribution, format detection, candidate-key flag, regex signature, PII probability.</w:t>
            </w:r>
          </w:p>
        </w:tc>
      </w:tr>
      <w:tr>
        <w:tc>
          <w:tcPr>
            <w:tcW w:type="dxa" w:w="30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Cross-system FK inference</w:t>
            </w:r>
          </w:p>
        </w:tc>
        <w:tc>
          <w:tcPr>
            <w:tcW w:type="dxa" w:w="63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LLM + statistics propose foreign-key edges across systems, scored by name similarity, value overlap, cardinality, and contextual fit.</w:t>
            </w:r>
          </w:p>
        </w:tc>
      </w:tr>
      <w:tr>
        <w:tc>
          <w:tcPr>
            <w:tcW w:type="dxa" w:w="30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Business glossary mapping</w:t>
            </w:r>
          </w:p>
        </w:tc>
        <w:tc>
          <w:tcPr>
            <w:tcW w:type="dxa" w:w="63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Maps physical columns to curated business terms ("Customer," "Net Revenue," "Active Account") with confidence and rationale.</w:t>
            </w:r>
          </w:p>
        </w:tc>
      </w:tr>
      <w:tr>
        <w:tc>
          <w:tcPr>
            <w:tcW w:type="dxa" w:w="30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Metric registry</w:t>
            </w:r>
          </w:p>
        </w:tc>
        <w:tc>
          <w:tcPr>
            <w:tcW w:type="dxa" w:w="63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Metrics are first-class nodes with definition, formula, owner, refresh cadence, and downstream consumers. One metric definition, every BI tool agrees.</w:t>
            </w:r>
          </w:p>
        </w:tc>
      </w:tr>
      <w:tr>
        <w:tc>
          <w:tcPr>
            <w:tcW w:type="dxa" w:w="30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Column-level lineage</w:t>
            </w:r>
          </w:p>
        </w:tc>
        <w:tc>
          <w:tcPr>
            <w:tcW w:type="dxa" w:w="63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Every answered value traces back to source columns, joins traversed, filters applied, and the metric definition used.</w:t>
            </w:r>
          </w:p>
        </w:tc>
      </w:tr>
      <w:tr>
        <w:tc>
          <w:tcPr>
            <w:tcW w:type="dxa" w:w="30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Schema-drift detection</w:t>
            </w:r>
          </w:p>
        </w:tc>
        <w:tc>
          <w:tcPr>
            <w:tcW w:type="dxa" w:w="63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Continuous diff of harvested schemas against the curated ontology; flags additions, deletions, type changes, and breaking joins.</w:t>
            </w:r>
          </w:p>
        </w:tc>
      </w:tr>
      <w:tr>
        <w:tc>
          <w:tcPr>
            <w:tcW w:type="dxa" w:w="30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Data-quality signals</w:t>
            </w:r>
          </w:p>
        </w:tc>
        <w:tc>
          <w:tcPr>
            <w:tcW w:type="dxa" w:w="63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Surfaces freshness lags, profiling anomalies, and key-coverage gaps directly on the graph.</w:t>
            </w:r>
          </w:p>
        </w:tc>
      </w:tr>
      <w:tr>
        <w:tc>
          <w:tcPr>
            <w:tcW w:type="dxa" w:w="30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Governing-context overlay</w:t>
            </w:r>
          </w:p>
        </w:tc>
        <w:tc>
          <w:tcPr>
            <w:tcW w:type="dxa" w:w="63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Contracts, policies, and runbooks attach to entities and metrics as governing-context nodes — accessible to the Q&amp;A planner for compliance-aware answers.</w:t>
            </w:r>
          </w:p>
        </w:tc>
      </w:tr>
      <w:tr>
        <w:tc>
          <w:tcPr>
            <w:tcW w:type="dxa" w:w="30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Federated query</w:t>
            </w:r>
          </w:p>
        </w:tc>
        <w:tc>
          <w:tcPr>
            <w:tcW w:type="dxa" w:w="63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Planner pushes computation down to the source systems where possible; orchestrates cross-system joins through the inferred keys when not.</w:t>
            </w:r>
          </w:p>
        </w:tc>
      </w:tr>
      <w:tr>
        <w:tc>
          <w:tcPr>
            <w:tcW w:type="dxa" w:w="30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Governance &amp; audit</w:t>
            </w:r>
          </w:p>
        </w:tc>
        <w:tc>
          <w:tcPr>
            <w:tcW w:type="dxa" w:w="63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Every ontology change is versioned and attributed; every answer carries lineage and citations; RBAC and column-level masking inherit from the source systems.</w:t>
            </w:r>
          </w:p>
        </w:tc>
      </w:tr>
      <w:tr>
        <w:tc>
          <w:tcPr>
            <w:tcW w:type="dxa" w:w="30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Deployment</w:t>
            </w:r>
          </w:p>
        </w:tc>
        <w:tc>
          <w:tcPr>
            <w:tcW w:type="dxa" w:w="63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Cloud-managed or self-hosted. Stateless workers; horizontal scale; SSO; SOC 2-aligned controls; isolated per-tenant graph stores.</w:t>
            </w:r>
          </w:p>
        </w:tc>
      </w:tr>
    </w:tbl>
    <w:p>
      <w:pPr>
        <w:pStyle w:val="Heading1"/>
        <w:pBdr>
          <w:bottom w:val="single" w:color="0E4A8A" w:sz="8" w:space="4"/>
        </w:pBdr>
        <w:spacing w:after="160" w:before="360"/>
      </w:pPr>
      <w:r>
        <w:rPr>
          <w:rFonts w:ascii="Calibri" w:cs="Calibri" w:eastAsia="Calibri" w:hAnsi="Calibri"/>
          <w:b/>
          <w:bCs/>
          <w:color w:val="0E4A8A"/>
          <w:sz w:val="30"/>
          <w:szCs w:val="30"/>
        </w:rPr>
        <w:t xml:space="preserve">6. Agent Inventory</w:t>
      </w:r>
    </w:p>
    <w:p>
      <w:pPr>
        <w:spacing w:after="60" w:before="60" w:line="300"/>
      </w:pPr>
      <w:r>
        <w:rPr>
          <w:rFonts w:ascii="Calibri" w:cs="Calibri" w:eastAsia="Calibri" w:hAnsi="Calibri"/>
          <w:color w:val="1A1A1A"/>
          <w:sz w:val="22"/>
          <w:szCs w:val="22"/>
        </w:rPr>
        <w:t xml:space="preserve">Kagen ships with specialist agents focused on metadata and semantics. Each is a thin orchestration over a planner prompt, a tool-use surface, and a typed result schema. New agents are added in hours.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3DD" w:sz="4"/>
              <w:left w:val="single" w:color="C9D3DD" w:sz="4"/>
              <w:bottom w:val="single" w:color="C9D3DD" w:sz="4"/>
              <w:right w:val="single" w:color="C9D3DD" w:sz="4"/>
            </w:tcBorders>
            <w:shd w:fill="E6F0FA" w:val="clear"/>
            <w:tcMar>
              <w:top w:type="dxa" w:w="90"/>
              <w:left w:type="dxa" w:w="130"/>
              <w:bottom w:type="dxa" w:w="90"/>
              <w:right w:type="dxa" w:w="130"/>
            </w:tcMar>
          </w:tcPr>
          <w:p>
            <w:pPr>
              <w:spacing w:after="20" w:before="20"/>
            </w:pPr>
            <w:r>
              <w:rPr>
                <w:rFonts w:ascii="Calibri" w:cs="Calibri" w:eastAsia="Calibri" w:hAnsi="Calibri"/>
                <w:b/>
                <w:bCs/>
                <w:color w:val="0E4A8A"/>
                <w:sz w:val="21"/>
                <w:szCs w:val="21"/>
              </w:rPr>
              <w:t xml:space="preserve">Agent</w:t>
            </w:r>
          </w:p>
        </w:tc>
        <w:tc>
          <w:tcPr>
            <w:tcW w:type="dxa" w:w="6760"/>
            <w:tcBorders>
              <w:top w:val="single" w:color="C9D3DD" w:sz="4"/>
              <w:left w:val="single" w:color="C9D3DD" w:sz="4"/>
              <w:bottom w:val="single" w:color="C9D3DD" w:sz="4"/>
              <w:right w:val="single" w:color="C9D3DD" w:sz="4"/>
            </w:tcBorders>
            <w:shd w:fill="E6F0FA" w:val="clear"/>
            <w:tcMar>
              <w:top w:type="dxa" w:w="90"/>
              <w:left w:type="dxa" w:w="130"/>
              <w:bottom w:type="dxa" w:w="90"/>
              <w:right w:type="dxa" w:w="130"/>
            </w:tcMar>
          </w:tcPr>
          <w:p>
            <w:pPr>
              <w:spacing w:after="20" w:before="20"/>
            </w:pPr>
            <w:r>
              <w:rPr>
                <w:rFonts w:ascii="Calibri" w:cs="Calibri" w:eastAsia="Calibri" w:hAnsi="Calibri"/>
                <w:b/>
                <w:bCs/>
                <w:color w:val="0E4A8A"/>
                <w:sz w:val="21"/>
                <w:szCs w:val="21"/>
              </w:rPr>
              <w:t xml:space="preserve">Role</w:t>
            </w:r>
          </w:p>
        </w:tc>
      </w:tr>
      <w:tr>
        <w:tc>
          <w:tcPr>
            <w:tcW w:type="dxa" w:w="26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Harvester Agent</w:t>
            </w:r>
          </w:p>
        </w:tc>
        <w:tc>
          <w:tcPr>
            <w:tcW w:type="dxa" w:w="67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Authenticates, crawls, and incrementally syncs each source. Pulls full information_schema, system catalogs, table comments, lineage, and sample rows. Handles rate limits, schema drift, and pagination.</w:t>
            </w:r>
          </w:p>
        </w:tc>
      </w:tr>
      <w:tr>
        <w:tc>
          <w:tcPr>
            <w:tcW w:type="dxa" w:w="26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Profiler Agent</w:t>
            </w:r>
          </w:p>
        </w:tc>
        <w:tc>
          <w:tcPr>
            <w:tcW w:type="dxa" w:w="67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Computes per-column statistics — cardinality, null rate, value distribution, format detection, candidate-key signal, PII heuristics.</w:t>
            </w:r>
          </w:p>
        </w:tc>
      </w:tr>
      <w:tr>
        <w:tc>
          <w:tcPr>
            <w:tcW w:type="dxa" w:w="26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Schema-Inference Agent</w:t>
            </w:r>
          </w:p>
        </w:tc>
        <w:tc>
          <w:tcPr>
            <w:tcW w:type="dxa" w:w="67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Reads schemas, profiles, and existing catalog tags; proposes typed entities, attributes, and units; ranks alternatives with explanation.</w:t>
            </w:r>
          </w:p>
        </w:tc>
      </w:tr>
      <w:tr>
        <w:tc>
          <w:tcPr>
            <w:tcW w:type="dxa" w:w="26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Key-Inference Agent</w:t>
            </w:r>
          </w:p>
        </w:tc>
        <w:tc>
          <w:tcPr>
            <w:tcW w:type="dxa" w:w="67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Proposes cross-system foreign-key edges using name similarity, value overlap, cardinality, and contextual heuristics; surfaces confidence scores.</w:t>
            </w:r>
          </w:p>
        </w:tc>
      </w:tr>
      <w:tr>
        <w:tc>
          <w:tcPr>
            <w:tcW w:type="dxa" w:w="26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Glossary Agent</w:t>
            </w:r>
          </w:p>
        </w:tc>
        <w:tc>
          <w:tcPr>
            <w:tcW w:type="dxa" w:w="67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Maps physical columns to curated business terms; reconciles synonyms; surfaces near-duplicate entities for steward review.</w:t>
            </w:r>
          </w:p>
        </w:tc>
      </w:tr>
      <w:tr>
        <w:tc>
          <w:tcPr>
            <w:tcW w:type="dxa" w:w="26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Metric Agent</w:t>
            </w:r>
          </w:p>
        </w:tc>
        <w:tc>
          <w:tcPr>
            <w:tcW w:type="dxa" w:w="67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Captures, formalizes, and versions metric definitions; reconciles divergent definitions across BI tools; tracks downstream consumers.</w:t>
            </w:r>
          </w:p>
        </w:tc>
      </w:tr>
      <w:tr>
        <w:tc>
          <w:tcPr>
            <w:tcW w:type="dxa" w:w="26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Lineage Agent</w:t>
            </w:r>
          </w:p>
        </w:tc>
        <w:tc>
          <w:tcPr>
            <w:tcW w:type="dxa" w:w="67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Stitches declared and inferred lineage end to end — from source columns through transformations to surfaced metrics — across system boundaries.</w:t>
            </w:r>
          </w:p>
        </w:tc>
      </w:tr>
      <w:tr>
        <w:tc>
          <w:tcPr>
            <w:tcW w:type="dxa" w:w="26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Quality Agent</w:t>
            </w:r>
          </w:p>
        </w:tc>
        <w:tc>
          <w:tcPr>
            <w:tcW w:type="dxa" w:w="67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Watches profiling deltas, freshness, and key-coverage; raises issues against the graph and routes them to the right owner.</w:t>
            </w:r>
          </w:p>
        </w:tc>
      </w:tr>
      <w:tr>
        <w:tc>
          <w:tcPr>
            <w:tcW w:type="dxa" w:w="26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Planner Agent</w:t>
            </w:r>
          </w:p>
        </w:tc>
        <w:tc>
          <w:tcPr>
            <w:tcW w:type="dxa" w:w="67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Decomposes natural-language questions into graph traversals and federated SQL; pushes computation down to source systems where possible.</w:t>
            </w:r>
          </w:p>
        </w:tc>
      </w:tr>
      <w:tr>
        <w:tc>
          <w:tcPr>
            <w:tcW w:type="dxa" w:w="26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Renderer Agent</w:t>
            </w:r>
          </w:p>
        </w:tc>
        <w:tc>
          <w:tcPr>
            <w:tcW w:type="dxa" w:w="67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Picks the best output modality — narrative, table, chart, full report — and assembles it with inline column-level lineage and citations.</w:t>
            </w:r>
          </w:p>
        </w:tc>
      </w:tr>
      <w:tr>
        <w:tc>
          <w:tcPr>
            <w:tcW w:type="dxa" w:w="26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Feedback Agent</w:t>
            </w:r>
          </w:p>
        </w:tc>
        <w:tc>
          <w:tcPr>
            <w:tcW w:type="dxa" w:w="67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Captures user verifications and corrections; updates ontology, metric registry, and key-confidence scores; closes the learning loop.</w:t>
            </w:r>
          </w:p>
        </w:tc>
      </w:tr>
    </w:tbl>
    <w:p>
      <w:pPr>
        <w:pStyle w:val="Heading1"/>
        <w:pBdr>
          <w:bottom w:val="single" w:color="0E4A8A" w:sz="8" w:space="4"/>
        </w:pBdr>
        <w:spacing w:after="160" w:before="360"/>
      </w:pPr>
      <w:r>
        <w:rPr>
          <w:rFonts w:ascii="Calibri" w:cs="Calibri" w:eastAsia="Calibri" w:hAnsi="Calibri"/>
          <w:b/>
          <w:bCs/>
          <w:color w:val="0E4A8A"/>
          <w:sz w:val="30"/>
          <w:szCs w:val="30"/>
        </w:rPr>
        <w:t xml:space="preserve">7. Demo Summary</w:t>
      </w:r>
    </w:p>
    <w:p>
      <w:pPr>
        <w:spacing w:after="60" w:before="60" w:line="300"/>
      </w:pPr>
      <w:r>
        <w:rPr>
          <w:rFonts w:ascii="Calibri" w:cs="Calibri" w:eastAsia="Calibri" w:hAnsi="Calibri"/>
          <w:color w:val="1A1A1A"/>
          <w:sz w:val="22"/>
          <w:szCs w:val="22"/>
        </w:rPr>
        <w:t xml:space="preserve">A live thirty-minute walkthrough that takes the audience from a set of disconnected source systems to a unified, queryable semantic graph.</w:t>
      </w:r>
    </w:p>
    <w:p>
      <w:pPr>
        <w:spacing w:after="80" w:before="80"/>
      </w:pPr>
      <w:r>
        <w:t xml:space="preserve"/>
      </w:r>
    </w:p>
    <w:p>
      <w:pPr>
        <w:pStyle w:val="Heading3"/>
        <w:spacing w:after="80" w:before="160"/>
      </w:pPr>
      <w:r>
        <w:rPr>
          <w:rFonts w:ascii="Calibri" w:cs="Calibri" w:eastAsia="Calibri" w:hAnsi="Calibri"/>
          <w:b/>
          <w:bCs/>
          <w:color w:val="0E4A8A"/>
          <w:sz w:val="23"/>
          <w:szCs w:val="23"/>
        </w:rPr>
        <w:t xml:space="preserve">Scene 1 — Connect and Harvest (4 minutes)</w:t>
      </w:r>
    </w:p>
    <w:p>
      <w:pPr>
        <w:spacing w:after="60" w:before="60" w:line="300"/>
      </w:pPr>
      <w:r>
        <w:rPr>
          <w:rFonts w:ascii="Calibri" w:cs="Calibri" w:eastAsia="Calibri" w:hAnsi="Calibri"/>
          <w:color w:val="1A1A1A"/>
          <w:sz w:val="22"/>
          <w:szCs w:val="22"/>
        </w:rPr>
        <w:t xml:space="preserve">We open Kagen, log in, and create a new project. We connect three sources: a Snowflake warehouse, a Salesforce instance, and an existing dbt project with manifest. Optionally, we point the document harvester at a folder of master service agreements as governing context. Harvesters fan out; the source inventory populates in seconds.</w:t>
      </w:r>
    </w:p>
    <w:p>
      <w:pPr>
        <w:pStyle w:val="Heading3"/>
        <w:spacing w:after="80" w:before="160"/>
      </w:pPr>
      <w:r>
        <w:rPr>
          <w:rFonts w:ascii="Calibri" w:cs="Calibri" w:eastAsia="Calibri" w:hAnsi="Calibri"/>
          <w:b/>
          <w:bCs/>
          <w:color w:val="0E4A8A"/>
          <w:sz w:val="23"/>
          <w:szCs w:val="23"/>
        </w:rPr>
        <w:t xml:space="preserve">Scene 2 — Profile and Infer (5 minutes)</w:t>
      </w:r>
    </w:p>
    <w:p>
      <w:pPr>
        <w:spacing w:after="60" w:before="60" w:line="300"/>
      </w:pPr>
      <w:r>
        <w:rPr>
          <w:rFonts w:ascii="Calibri" w:cs="Calibri" w:eastAsia="Calibri" w:hAnsi="Calibri"/>
          <w:color w:val="1A1A1A"/>
          <w:sz w:val="22"/>
          <w:szCs w:val="22"/>
        </w:rPr>
        <w:t xml:space="preserve">Profilers compute statistics on every column. The Schema-Inference and Key-Inference agents propose a typed ontology in under a minute. The audience sees: forty-seven business entities, three hundred typed attributes, and twenty-two cross-system foreign keys with confidence scores — including a non-obvious join between Salesforce account IDs and Snowflake billing customer keys.</w:t>
      </w:r>
    </w:p>
    <w:p>
      <w:pPr>
        <w:pStyle w:val="Heading3"/>
        <w:spacing w:after="80" w:before="160"/>
      </w:pPr>
      <w:r>
        <w:rPr>
          <w:rFonts w:ascii="Calibri" w:cs="Calibri" w:eastAsia="Calibri" w:hAnsi="Calibri"/>
          <w:b/>
          <w:bCs/>
          <w:color w:val="0E4A8A"/>
          <w:sz w:val="23"/>
          <w:szCs w:val="23"/>
        </w:rPr>
        <w:t xml:space="preserve">Scene 3 — Curate and Define Metrics (5 minutes)</w:t>
      </w:r>
    </w:p>
    <w:p>
      <w:pPr>
        <w:spacing w:after="60" w:before="60" w:line="300"/>
      </w:pPr>
      <w:r>
        <w:rPr>
          <w:rFonts w:ascii="Calibri" w:cs="Calibri" w:eastAsia="Calibri" w:hAnsi="Calibri"/>
          <w:color w:val="1A1A1A"/>
          <w:sz w:val="22"/>
          <w:szCs w:val="22"/>
        </w:rPr>
        <w:t xml:space="preserve">We open the visual editor. We accept high-confidence keys in bulk, reject one false positive with an explanation, lock the Customer entity, and map two physical columns to the "Net Revenue" business term. We define one metric — Active Customer — once, with formula, owner, and refresh cadence. Kagen reconciles three divergent definitions of the same metric pulled from existing BI tools.</w:t>
      </w:r>
    </w:p>
    <w:p>
      <w:pPr>
        <w:pStyle w:val="Heading3"/>
        <w:spacing w:after="80" w:before="160"/>
      </w:pPr>
      <w:r>
        <w:rPr>
          <w:rFonts w:ascii="Calibri" w:cs="Calibri" w:eastAsia="Calibri" w:hAnsi="Calibri"/>
          <w:b/>
          <w:bCs/>
          <w:color w:val="0E4A8A"/>
          <w:sz w:val="23"/>
          <w:szCs w:val="23"/>
        </w:rPr>
        <w:t xml:space="preserve">Scene 4 — Build the Graph (3 minutes)</w:t>
      </w:r>
    </w:p>
    <w:p>
      <w:pPr>
        <w:spacing w:after="60" w:before="60" w:line="300"/>
      </w:pPr>
      <w:r>
        <w:rPr>
          <w:rFonts w:ascii="Calibri" w:cs="Calibri" w:eastAsia="Calibri" w:hAnsi="Calibri"/>
          <w:color w:val="1A1A1A"/>
          <w:sz w:val="22"/>
          <w:szCs w:val="22"/>
        </w:rPr>
        <w:t xml:space="preserve">We click Build. The D3 canvas streams tables, columns, keys, and metrics into a live graph. We hover a column to see its profiling stats; we click an edge to inspect the inferred key and its supporting evidence; we filter to show only PII-tagged columns.</w:t>
      </w:r>
    </w:p>
    <w:p>
      <w:pPr>
        <w:pStyle w:val="Heading3"/>
        <w:spacing w:after="80" w:before="160"/>
      </w:pPr>
      <w:r>
        <w:rPr>
          <w:rFonts w:ascii="Calibri" w:cs="Calibri" w:eastAsia="Calibri" w:hAnsi="Calibri"/>
          <w:b/>
          <w:bCs/>
          <w:color w:val="0E4A8A"/>
          <w:sz w:val="23"/>
          <w:szCs w:val="23"/>
        </w:rPr>
        <w:t xml:space="preserve">Scene 5 — Ask Cross-System Questions (10 minutes)</w:t>
      </w:r>
    </w:p>
    <w:p>
      <w:pPr>
        <w:spacing w:after="60" w:before="60" w:line="300"/>
      </w:pPr>
      <w:r>
        <w:rPr>
          <w:rFonts w:ascii="Calibri" w:cs="Calibri" w:eastAsia="Calibri" w:hAnsi="Calibri"/>
          <w:color w:val="1A1A1A"/>
          <w:sz w:val="22"/>
          <w:szCs w:val="22"/>
        </w:rPr>
        <w:t xml:space="preserve">The hero moment. We ask in plain English. The planner traverses the semantic graph, federates SQL across Snowflake, Salesforce, and the dbt-modeled marts, and renders the answer with column-level lineage. Each value is clickable to its source columns and the metric definition that produced it. Where a master service agreement governs the answer, the relevant clause is attached as context.</w:t>
      </w:r>
    </w:p>
    <w:p>
      <w:pPr>
        <w:pStyle w:val="Heading3"/>
        <w:spacing w:after="80" w:before="160"/>
      </w:pPr>
      <w:r>
        <w:rPr>
          <w:rFonts w:ascii="Calibri" w:cs="Calibri" w:eastAsia="Calibri" w:hAnsi="Calibri"/>
          <w:b/>
          <w:bCs/>
          <w:color w:val="0E4A8A"/>
          <w:sz w:val="23"/>
          <w:szCs w:val="23"/>
        </w:rPr>
        <w:t xml:space="preserve">Scene 6 — Auto-Generate a Data-Product Report (3 minutes)</w:t>
      </w:r>
    </w:p>
    <w:p>
      <w:pPr>
        <w:spacing w:after="60" w:before="60" w:line="300"/>
      </w:pPr>
      <w:r>
        <w:rPr>
          <w:rFonts w:ascii="Calibri" w:cs="Calibri" w:eastAsia="Calibri" w:hAnsi="Calibri"/>
          <w:color w:val="1A1A1A"/>
          <w:sz w:val="22"/>
          <w:szCs w:val="22"/>
        </w:rPr>
        <w:t xml:space="preserve">We ask Kagen to assemble a quarterly customer-health briefing. It selects the right metrics, drafts narrative, generates charts, attaches column-level lineage and contract context to every claim, and exports a polished DOCX. The audience downloads the file and opens it on their own machine.</w:t>
      </w:r>
    </w:p>
    <w:p>
      <w:pPr>
        <w:pStyle w:val="Heading1"/>
        <w:pBdr>
          <w:bottom w:val="single" w:color="0E4A8A" w:sz="8" w:space="4"/>
        </w:pBdr>
        <w:spacing w:after="160" w:before="360"/>
      </w:pPr>
      <w:r>
        <w:rPr>
          <w:rFonts w:ascii="Calibri" w:cs="Calibri" w:eastAsia="Calibri" w:hAnsi="Calibri"/>
          <w:b/>
          <w:bCs/>
          <w:color w:val="0E4A8A"/>
          <w:sz w:val="30"/>
          <w:szCs w:val="30"/>
        </w:rPr>
        <w:t xml:space="preserve">8. Sample Questions Kagen Answers</w:t>
      </w:r>
    </w:p>
    <w:p>
      <w:pPr>
        <w:spacing w:after="60" w:before="60" w:line="300"/>
      </w:pPr>
      <w:r>
        <w:rPr>
          <w:rFonts w:ascii="Calibri" w:cs="Calibri" w:eastAsia="Calibri" w:hAnsi="Calibri"/>
          <w:color w:val="1A1A1A"/>
          <w:sz w:val="22"/>
          <w:szCs w:val="22"/>
        </w:rPr>
        <w:t xml:space="preserve">Domain-agnostic by design. Every question below is answered by traversing the semantic graph and federating SQL — no bespoke pipeline, no hand-written join.</w:t>
      </w:r>
    </w:p>
    <w:p>
      <w:pPr>
        <w:pStyle w:val="Heading3"/>
        <w:spacing w:after="80" w:before="160"/>
      </w:pPr>
      <w:r>
        <w:rPr>
          <w:rFonts w:ascii="Calibri" w:cs="Calibri" w:eastAsia="Calibri" w:hAnsi="Calibri"/>
          <w:b/>
          <w:bCs/>
          <w:color w:val="0E4A8A"/>
          <w:sz w:val="23"/>
          <w:szCs w:val="23"/>
        </w:rPr>
        <w:t xml:space="preserve">Schema and Lineage</w:t>
      </w:r>
    </w:p>
    <w:p>
      <w:pPr>
        <w:pStyle w:val="ListParagraph"/>
        <w:numPr>
          <w:ilvl w:val="0"/>
          <w:numId w:val="2"/>
        </w:numPr>
        <w:spacing w:after="40" w:before="40" w:line="300"/>
      </w:pPr>
      <w:r>
        <w:rPr>
          <w:rFonts w:ascii="Calibri" w:cs="Calibri" w:eastAsia="Calibri" w:hAnsi="Calibri"/>
          <w:color w:val="1A1A1A"/>
          <w:sz w:val="22"/>
          <w:szCs w:val="22"/>
        </w:rPr>
        <w:t xml:space="preserve">Show every column across our estate that probably contains a customer email, including in tables that no human has touched in two years.</w:t>
      </w:r>
    </w:p>
    <w:p>
      <w:pPr>
        <w:pStyle w:val="ListParagraph"/>
        <w:numPr>
          <w:ilvl w:val="0"/>
          <w:numId w:val="2"/>
        </w:numPr>
        <w:spacing w:after="40" w:before="40" w:line="300"/>
      </w:pPr>
      <w:r>
        <w:rPr>
          <w:rFonts w:ascii="Calibri" w:cs="Calibri" w:eastAsia="Calibri" w:hAnsi="Calibri"/>
          <w:color w:val="1A1A1A"/>
          <w:sz w:val="22"/>
          <w:szCs w:val="22"/>
        </w:rPr>
        <w:t xml:space="preserve">Trace the Net Revenue figure on the CFO dashboard back to the source columns and every transformation between them.</w:t>
      </w:r>
    </w:p>
    <w:p>
      <w:pPr>
        <w:pStyle w:val="ListParagraph"/>
        <w:numPr>
          <w:ilvl w:val="0"/>
          <w:numId w:val="2"/>
        </w:numPr>
        <w:spacing w:after="40" w:before="40" w:line="300"/>
      </w:pPr>
      <w:r>
        <w:rPr>
          <w:rFonts w:ascii="Calibri" w:cs="Calibri" w:eastAsia="Calibri" w:hAnsi="Calibri"/>
          <w:color w:val="1A1A1A"/>
          <w:sz w:val="22"/>
          <w:szCs w:val="22"/>
        </w:rPr>
        <w:t xml:space="preserve">Which downstream dashboards, notebooks, and reverse-ETL syncs would break if I rename the orders.cust_id column?</w:t>
      </w:r>
    </w:p>
    <w:p>
      <w:pPr>
        <w:pStyle w:val="Heading3"/>
        <w:spacing w:after="80" w:before="160"/>
      </w:pPr>
      <w:r>
        <w:rPr>
          <w:rFonts w:ascii="Calibri" w:cs="Calibri" w:eastAsia="Calibri" w:hAnsi="Calibri"/>
          <w:b/>
          <w:bCs/>
          <w:color w:val="0E4A8A"/>
          <w:sz w:val="23"/>
          <w:szCs w:val="23"/>
        </w:rPr>
        <w:t xml:space="preserve">Metrics and Definitions</w:t>
      </w:r>
    </w:p>
    <w:p>
      <w:pPr>
        <w:pStyle w:val="ListParagraph"/>
        <w:numPr>
          <w:ilvl w:val="0"/>
          <w:numId w:val="2"/>
        </w:numPr>
        <w:spacing w:after="40" w:before="40" w:line="300"/>
      </w:pPr>
      <w:r>
        <w:rPr>
          <w:rFonts w:ascii="Calibri" w:cs="Calibri" w:eastAsia="Calibri" w:hAnsi="Calibri"/>
          <w:color w:val="1A1A1A"/>
          <w:sz w:val="22"/>
          <w:szCs w:val="22"/>
        </w:rPr>
        <w:t xml:space="preserve">Find every place "Active Customer" is defined across our BI tools. Show me where the definitions disagree and what the dollar impact of each disagreement is.</w:t>
      </w:r>
    </w:p>
    <w:p>
      <w:pPr>
        <w:pStyle w:val="ListParagraph"/>
        <w:numPr>
          <w:ilvl w:val="0"/>
          <w:numId w:val="2"/>
        </w:numPr>
        <w:spacing w:after="40" w:before="40" w:line="300"/>
      </w:pPr>
      <w:r>
        <w:rPr>
          <w:rFonts w:ascii="Calibri" w:cs="Calibri" w:eastAsia="Calibri" w:hAnsi="Calibri"/>
          <w:color w:val="1A1A1A"/>
          <w:sz w:val="22"/>
          <w:szCs w:val="22"/>
        </w:rPr>
        <w:t xml:space="preserve">Reconcile our general ledger against the data warehouse fact_payments table; surface every variance over a thousand dollars and a probable cause.</w:t>
      </w:r>
    </w:p>
    <w:p>
      <w:pPr>
        <w:pStyle w:val="Heading3"/>
        <w:spacing w:after="80" w:before="160"/>
      </w:pPr>
      <w:r>
        <w:rPr>
          <w:rFonts w:ascii="Calibri" w:cs="Calibri" w:eastAsia="Calibri" w:hAnsi="Calibri"/>
          <w:b/>
          <w:bCs/>
          <w:color w:val="0E4A8A"/>
          <w:sz w:val="23"/>
          <w:szCs w:val="23"/>
        </w:rPr>
        <w:t xml:space="preserve">Cross-System Joins</w:t>
      </w:r>
    </w:p>
    <w:p>
      <w:pPr>
        <w:pStyle w:val="ListParagraph"/>
        <w:numPr>
          <w:ilvl w:val="0"/>
          <w:numId w:val="2"/>
        </w:numPr>
        <w:spacing w:after="40" w:before="40" w:line="300"/>
      </w:pPr>
      <w:r>
        <w:rPr>
          <w:rFonts w:ascii="Calibri" w:cs="Calibri" w:eastAsia="Calibri" w:hAnsi="Calibri"/>
          <w:color w:val="1A1A1A"/>
          <w:sz w:val="22"/>
          <w:szCs w:val="22"/>
        </w:rPr>
        <w:t xml:space="preserve">List every Salesforce account whose Snowflake usage spiked more than thirty percent last month and whose latest support ticket mentions onboarding.</w:t>
      </w:r>
    </w:p>
    <w:p>
      <w:pPr>
        <w:pStyle w:val="ListParagraph"/>
        <w:numPr>
          <w:ilvl w:val="0"/>
          <w:numId w:val="2"/>
        </w:numPr>
        <w:spacing w:after="40" w:before="40" w:line="300"/>
      </w:pPr>
      <w:r>
        <w:rPr>
          <w:rFonts w:ascii="Calibri" w:cs="Calibri" w:eastAsia="Calibri" w:hAnsi="Calibri"/>
          <w:color w:val="1A1A1A"/>
          <w:sz w:val="22"/>
          <w:szCs w:val="22"/>
        </w:rPr>
        <w:t xml:space="preserve">Map every product SKU in NetSuite to its corresponding catalog entry in the e-commerce database; surface SKUs that exist in one but not the other.</w:t>
      </w:r>
    </w:p>
    <w:p>
      <w:pPr>
        <w:pStyle w:val="Heading3"/>
        <w:spacing w:after="80" w:before="160"/>
      </w:pPr>
      <w:r>
        <w:rPr>
          <w:rFonts w:ascii="Calibri" w:cs="Calibri" w:eastAsia="Calibri" w:hAnsi="Calibri"/>
          <w:b/>
          <w:bCs/>
          <w:color w:val="0E4A8A"/>
          <w:sz w:val="23"/>
          <w:szCs w:val="23"/>
        </w:rPr>
        <w:t xml:space="preserve">Governance and Quality</w:t>
      </w:r>
    </w:p>
    <w:p>
      <w:pPr>
        <w:pStyle w:val="ListParagraph"/>
        <w:numPr>
          <w:ilvl w:val="0"/>
          <w:numId w:val="2"/>
        </w:numPr>
        <w:spacing w:after="40" w:before="40" w:line="300"/>
      </w:pPr>
      <w:r>
        <w:rPr>
          <w:rFonts w:ascii="Calibri" w:cs="Calibri" w:eastAsia="Calibri" w:hAnsi="Calibri"/>
          <w:color w:val="1A1A1A"/>
          <w:sz w:val="22"/>
          <w:szCs w:val="22"/>
        </w:rPr>
        <w:t xml:space="preserve">Which tables contain PII according to our data-handling policy but lack column-level masking in production?</w:t>
      </w:r>
    </w:p>
    <w:p>
      <w:pPr>
        <w:pStyle w:val="ListParagraph"/>
        <w:numPr>
          <w:ilvl w:val="0"/>
          <w:numId w:val="2"/>
        </w:numPr>
        <w:spacing w:after="40" w:before="40" w:line="300"/>
      </w:pPr>
      <w:r>
        <w:rPr>
          <w:rFonts w:ascii="Calibri" w:cs="Calibri" w:eastAsia="Calibri" w:hAnsi="Calibri"/>
          <w:color w:val="1A1A1A"/>
          <w:sz w:val="22"/>
          <w:szCs w:val="22"/>
        </w:rPr>
        <w:t xml:space="preserve">Show every column whose profiling distribution shifted by more than two standard deviations this week, ranked by the dollar value of downstream metrics that depend on it.</w:t>
      </w:r>
    </w:p>
    <w:p>
      <w:pPr>
        <w:pStyle w:val="ListParagraph"/>
        <w:numPr>
          <w:ilvl w:val="0"/>
          <w:numId w:val="2"/>
        </w:numPr>
        <w:spacing w:after="40" w:before="40" w:line="300"/>
      </w:pPr>
      <w:r>
        <w:rPr>
          <w:rFonts w:ascii="Calibri" w:cs="Calibri" w:eastAsia="Calibri" w:hAnsi="Calibri"/>
          <w:color w:val="1A1A1A"/>
          <w:sz w:val="22"/>
          <w:szCs w:val="22"/>
        </w:rPr>
        <w:t xml:space="preserve">List every contract clause that constrains how we can use the customer.preferences column, and flag any current dashboard that may be in violation.</w:t>
      </w:r>
    </w:p>
    <w:p>
      <w:pPr>
        <w:pStyle w:val="Heading1"/>
        <w:pBdr>
          <w:bottom w:val="single" w:color="0E4A8A" w:sz="8" w:space="4"/>
        </w:pBdr>
        <w:spacing w:after="160" w:before="360"/>
      </w:pPr>
      <w:r>
        <w:rPr>
          <w:rFonts w:ascii="Calibri" w:cs="Calibri" w:eastAsia="Calibri" w:hAnsi="Calibri"/>
          <w:b/>
          <w:bCs/>
          <w:color w:val="0E4A8A"/>
          <w:sz w:val="30"/>
          <w:szCs w:val="30"/>
        </w:rPr>
        <w:t xml:space="preserve">9. Business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3DD" w:sz="4"/>
              <w:left w:val="single" w:color="C9D3DD" w:sz="4"/>
              <w:bottom w:val="single" w:color="C9D3DD" w:sz="4"/>
              <w:right w:val="single" w:color="C9D3DD" w:sz="4"/>
            </w:tcBorders>
            <w:shd w:fill="E6F0FA" w:val="clear"/>
            <w:tcMar>
              <w:top w:type="dxa" w:w="90"/>
              <w:left w:type="dxa" w:w="130"/>
              <w:bottom w:type="dxa" w:w="90"/>
              <w:right w:type="dxa" w:w="130"/>
            </w:tcMar>
          </w:tcPr>
          <w:p>
            <w:pPr>
              <w:spacing w:after="20" w:before="20"/>
            </w:pPr>
            <w:r>
              <w:rPr>
                <w:rFonts w:ascii="Calibri" w:cs="Calibri" w:eastAsia="Calibri" w:hAnsi="Calibri"/>
                <w:b/>
                <w:bCs/>
                <w:color w:val="0E4A8A"/>
                <w:sz w:val="21"/>
                <w:szCs w:val="21"/>
              </w:rPr>
              <w:t xml:space="preserve">Outcome</w:t>
            </w:r>
          </w:p>
        </w:tc>
        <w:tc>
          <w:tcPr>
            <w:tcW w:type="dxa" w:w="6360"/>
            <w:tcBorders>
              <w:top w:val="single" w:color="C9D3DD" w:sz="4"/>
              <w:left w:val="single" w:color="C9D3DD" w:sz="4"/>
              <w:bottom w:val="single" w:color="C9D3DD" w:sz="4"/>
              <w:right w:val="single" w:color="C9D3DD" w:sz="4"/>
            </w:tcBorders>
            <w:shd w:fill="E6F0FA" w:val="clear"/>
            <w:tcMar>
              <w:top w:type="dxa" w:w="90"/>
              <w:left w:type="dxa" w:w="130"/>
              <w:bottom w:type="dxa" w:w="90"/>
              <w:right w:type="dxa" w:w="130"/>
            </w:tcMar>
          </w:tcPr>
          <w:p>
            <w:pPr>
              <w:spacing w:after="20" w:before="20"/>
            </w:pPr>
            <w:r>
              <w:rPr>
                <w:rFonts w:ascii="Calibri" w:cs="Calibri" w:eastAsia="Calibri" w:hAnsi="Calibri"/>
                <w:b/>
                <w:bCs/>
                <w:color w:val="0E4A8A"/>
                <w:sz w:val="21"/>
                <w:szCs w:val="21"/>
              </w:rPr>
              <w:t xml:space="preserve">Evidence from pilots</w:t>
            </w:r>
          </w:p>
        </w:tc>
      </w:tr>
      <w:tr>
        <w:tc>
          <w:tcPr>
            <w:tcW w:type="dxa" w:w="30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Time to a trusted metric</w:t>
            </w:r>
          </w:p>
        </w:tc>
        <w:tc>
          <w:tcPr>
            <w:tcW w:type="dxa" w:w="63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Days, not months. One curated metric definition, agreed across BI tools and dashboards, with column-level lineage attached.</w:t>
            </w:r>
          </w:p>
        </w:tc>
      </w:tr>
      <w:tr>
        <w:tc>
          <w:tcPr>
            <w:tcW w:type="dxa" w:w="30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Catalog coverage</w:t>
            </w:r>
          </w:p>
        </w:tc>
        <w:tc>
          <w:tcPr>
            <w:tcW w:type="dxa" w:w="63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Coverage of meaningful metadata — entities, keys, glossary terms, owners — climbs from twenty percent to over ninety in the first sprint, then self-maintains as schemas evolve.</w:t>
            </w:r>
          </w:p>
        </w:tc>
      </w:tr>
      <w:tr>
        <w:tc>
          <w:tcPr>
            <w:tcW w:type="dxa" w:w="30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Cross-system join velocity</w:t>
            </w:r>
          </w:p>
        </w:tc>
        <w:tc>
          <w:tcPr>
            <w:tcW w:type="dxa" w:w="63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Questions that previously required a senior analyst to hand-write a join across three systems are answered in seconds by anyone with access.</w:t>
            </w:r>
          </w:p>
        </w:tc>
      </w:tr>
      <w:tr>
        <w:tc>
          <w:tcPr>
            <w:tcW w:type="dxa" w:w="30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Reduced shadow analytics</w:t>
            </w:r>
          </w:p>
        </w:tc>
        <w:tc>
          <w:tcPr>
            <w:tcW w:type="dxa" w:w="63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When the canonical model is faster than the workaround, the workaround disappears. Pilots show a forty-to-sixty percent drop in ad-hoc spreadsheet pulls within a quarter.</w:t>
            </w:r>
          </w:p>
        </w:tc>
      </w:tr>
      <w:tr>
        <w:tc>
          <w:tcPr>
            <w:tcW w:type="dxa" w:w="300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Trustworthy answers</w:t>
            </w:r>
          </w:p>
        </w:tc>
        <w:tc>
          <w:tcPr>
            <w:tcW w:type="dxa" w:w="6360"/>
            <w:tcBorders>
              <w:top w:val="single" w:color="C9D3DD" w:sz="4"/>
              <w:left w:val="single" w:color="C9D3DD" w:sz="4"/>
              <w:bottom w:val="single" w:color="C9D3DD" w:sz="4"/>
              <w:right w:val="single" w:color="C9D3DD" w:sz="4"/>
            </w:tcBorders>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Every answered value carries column-level lineage and the exact metric definition used. Disputes shrink from weeks of reconciliation to a single click.</w:t>
            </w:r>
          </w:p>
        </w:tc>
      </w:tr>
      <w:tr>
        <w:tc>
          <w:tcPr>
            <w:tcW w:type="dxa" w:w="300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Governance baked in</w:t>
            </w:r>
          </w:p>
        </w:tc>
        <w:tc>
          <w:tcPr>
            <w:tcW w:type="dxa" w:w="6360"/>
            <w:tcBorders>
              <w:top w:val="single" w:color="C9D3DD" w:sz="4"/>
              <w:left w:val="single" w:color="C9D3DD" w:sz="4"/>
              <w:bottom w:val="single" w:color="C9D3DD" w:sz="4"/>
              <w:right w:val="single" w:color="C9D3DD" w:sz="4"/>
            </w:tcBorders>
            <w:shd w:fill="F5F8FB" w:val="clear"/>
            <w:tcMar>
              <w:top w:type="dxa" w:w="90"/>
              <w:left w:type="dxa" w:w="130"/>
              <w:bottom w:type="dxa" w:w="90"/>
              <w:right w:type="dxa" w:w="130"/>
            </w:tcMar>
          </w:tcPr>
          <w:p>
            <w:pPr>
              <w:spacing w:after="20" w:before="20"/>
            </w:pPr>
            <w:r>
              <w:rPr>
                <w:rFonts w:ascii="Calibri" w:cs="Calibri" w:eastAsia="Calibri" w:hAnsi="Calibri"/>
                <w:b w:val="false"/>
                <w:bCs w:val="false"/>
                <w:color w:val="1A1A1A"/>
                <w:sz w:val="20"/>
                <w:szCs w:val="20"/>
              </w:rPr>
              <w:t xml:space="preserve">PII tags, ownership, and contract constraints travel with the data. Compliance reviews start from the graph instead of a spreadsheet.</w:t>
            </w:r>
          </w:p>
        </w:tc>
      </w:tr>
    </w:tbl>
    <w:p>
      <w:pPr>
        <w:pStyle w:val="Heading1"/>
        <w:pBdr>
          <w:bottom w:val="single" w:color="0E4A8A" w:sz="8" w:space="4"/>
        </w:pBdr>
        <w:spacing w:after="160" w:before="360"/>
      </w:pPr>
      <w:r>
        <w:rPr>
          <w:rFonts w:ascii="Calibri" w:cs="Calibri" w:eastAsia="Calibri" w:hAnsi="Calibri"/>
          <w:b/>
          <w:bCs/>
          <w:color w:val="0E4A8A"/>
          <w:sz w:val="30"/>
          <w:szCs w:val="30"/>
        </w:rPr>
        <w:t xml:space="preserve">10. Next Steps</w:t>
      </w:r>
    </w:p>
    <w:p>
      <w:pPr>
        <w:pStyle w:val="ListParagraph"/>
        <w:numPr>
          <w:ilvl w:val="0"/>
          <w:numId w:val="2"/>
        </w:numPr>
        <w:spacing w:after="40" w:before="40" w:line="300"/>
      </w:pPr>
      <w:r>
        <w:rPr>
          <w:rFonts w:ascii="Calibri" w:cs="Calibri" w:eastAsia="Calibri" w:hAnsi="Calibri"/>
          <w:b/>
          <w:bCs/>
          <w:color w:val="1A1A1A"/>
          <w:sz w:val="22"/>
          <w:szCs w:val="22"/>
        </w:rPr>
        <w:t xml:space="preserve">Discovery workshop (90 minutes): </w:t>
      </w:r>
      <w:r>
        <w:rPr>
          <w:rFonts w:ascii="Calibri" w:cs="Calibri" w:eastAsia="Calibri" w:hAnsi="Calibri"/>
          <w:color w:val="1A1A1A"/>
          <w:sz w:val="22"/>
          <w:szCs w:val="22"/>
        </w:rPr>
        <w:t xml:space="preserve">Inventory candidate sources, pick a hero use case, agree the first metric to canonicalize, and align on success criteria.</w:t>
      </w:r>
    </w:p>
    <w:p>
      <w:pPr>
        <w:pStyle w:val="ListParagraph"/>
        <w:numPr>
          <w:ilvl w:val="0"/>
          <w:numId w:val="2"/>
        </w:numPr>
        <w:spacing w:after="40" w:before="40" w:line="300"/>
      </w:pPr>
      <w:r>
        <w:rPr>
          <w:rFonts w:ascii="Calibri" w:cs="Calibri" w:eastAsia="Calibri" w:hAnsi="Calibri"/>
          <w:b/>
          <w:bCs/>
          <w:color w:val="1A1A1A"/>
          <w:sz w:val="22"/>
          <w:szCs w:val="22"/>
        </w:rPr>
        <w:t xml:space="preserve">Two-week pilot: </w:t>
      </w:r>
      <w:r>
        <w:rPr>
          <w:rFonts w:ascii="Calibri" w:cs="Calibri" w:eastAsia="Calibri" w:hAnsi="Calibri"/>
          <w:color w:val="1A1A1A"/>
          <w:sz w:val="22"/>
          <w:szCs w:val="22"/>
        </w:rPr>
        <w:t xml:space="preserve">Stand Kagen up against two warehouses and one SaaS source, harvest metadata, deliver the first inferred ontology, the first curated metric, and the first ten production answers with full lineage.</w:t>
      </w:r>
    </w:p>
    <w:p>
      <w:pPr>
        <w:pStyle w:val="ListParagraph"/>
        <w:numPr>
          <w:ilvl w:val="0"/>
          <w:numId w:val="2"/>
        </w:numPr>
        <w:spacing w:after="40" w:before="40" w:line="300"/>
      </w:pPr>
      <w:r>
        <w:rPr>
          <w:rFonts w:ascii="Calibri" w:cs="Calibri" w:eastAsia="Calibri" w:hAnsi="Calibri"/>
          <w:b/>
          <w:bCs/>
          <w:color w:val="1A1A1A"/>
          <w:sz w:val="22"/>
          <w:szCs w:val="22"/>
        </w:rPr>
        <w:t xml:space="preserve">Production rollout: </w:t>
      </w:r>
      <w:r>
        <w:rPr>
          <w:rFonts w:ascii="Calibri" w:cs="Calibri" w:eastAsia="Calibri" w:hAnsi="Calibri"/>
          <w:color w:val="1A1A1A"/>
          <w:sz w:val="22"/>
          <w:szCs w:val="22"/>
        </w:rPr>
        <w:t xml:space="preserve">Expand harvesters across the estate, formalize the metric registry, integrate with existing catalogs and BI tools, and stand up the feedback loop with stewards.</w:t>
      </w:r>
    </w:p>
    <w:p>
      <w:pPr>
        <w:spacing w:after="80" w:before="80"/>
      </w:pPr>
      <w:r>
        <w:t xml:space="preserve"/>
      </w:r>
    </w:p>
    <w:p>
      <w:pPr>
        <w:spacing w:after="60" w:before="60" w:line="300"/>
      </w:pPr>
      <w:r>
        <w:rPr>
          <w:rFonts w:ascii="Calibri" w:cs="Calibri" w:eastAsia="Calibri" w:hAnsi="Calibri"/>
          <w:b/>
          <w:bCs/>
          <w:color w:val="1A1A1A"/>
          <w:sz w:val="22"/>
          <w:szCs w:val="22"/>
        </w:rPr>
        <w:t xml:space="preserve">Ready to schedule the discovery workshop?  </w:t>
      </w:r>
      <w:r>
        <w:rPr>
          <w:rFonts w:ascii="Calibri" w:cs="Calibri" w:eastAsia="Calibri" w:hAnsi="Calibri"/>
          <w:color w:val="5A5A5A"/>
          <w:sz w:val="22"/>
          <w:szCs w:val="22"/>
        </w:rPr>
        <w:t xml:space="preserve">Reply with two convenient windows in the next two weeks and we will confirm within the day.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E4A8A"/>
      <w:sz w:val="30"/>
      <w:szCs w:val="30"/>
    </w:rPr>
  </w:style>
  <w:style w:type="paragraph" w:styleId="Heading3">
    <w:name w:val="Heading 3"/>
    <w:basedOn w:val="Normal"/>
    <w:next w:val="Normal"/>
    <w:qFormat/>
    <w:pPr>
      <w:spacing w:after="80" w:before="160"/>
      <w:outlineLvl w:val="2"/>
    </w:pPr>
    <w:rPr>
      <w:rFonts w:ascii="Calibri" w:cs="Calibri" w:eastAsia="Calibri" w:hAnsi="Calibri"/>
      <w:b/>
      <w:bCs/>
      <w:color w:val="0E4A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Kagen Ontology Builder — Business Brief</dc:title>
  <dc:creator>Kagen</dc:creator>
  <cp:lastModifiedBy>Un-named</cp:lastModifiedBy>
  <cp:revision>1</cp:revision>
  <dcterms:created xsi:type="dcterms:W3CDTF">2026-05-04T17:08:10.651Z</dcterms:created>
  <dcterms:modified xsi:type="dcterms:W3CDTF">2026-05-04T17:08:10.651Z</dcterms:modified>
</cp:coreProperties>
</file>

<file path=docProps/custom.xml><?xml version="1.0" encoding="utf-8"?>
<Properties xmlns="http://schemas.openxmlformats.org/officeDocument/2006/custom-properties" xmlns:vt="http://schemas.openxmlformats.org/officeDocument/2006/docPropsVTypes"/>
</file>