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-909320</wp:posOffset></wp:positionH><wp:positionV relativeFrom="margin"><wp:posOffset>-690245</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widowControl w:val="false"/><w:autoSpaceDE w:val="false"/><w:jc w:val="center"/><w:rPr><w:rFonts w:ascii="Times;Times New Roman" w:hAnsi="Times;Times New Roman" w:cs="Times;Times New Roman"/></w:rPr></w:pPr><w:r><w:rPr><w:rFonts w:cs="Times;Times New Roman" w:ascii="Times;Times New Roman" w:hAnsi="Times;Times New Roman"/></w:rPr><w:t>September 9, 2025</w:t></w:r></w:p><w:p><w:pPr><w:pStyle w:val="Normal"/><w:widowControl w:val="false"/><w:autoSpaceDE w:val="false"/><w:jc w:val="center"/><w:rPr></w:rPr></w:pPr><w:r><w:rPr><w:rFonts w:cs="TimesNewRomanPS-BoldMT" w:ascii="Times;Times New Roman" w:hAnsi="Times;Times New Roman"/><w:b/><w:bCs/><w:szCs w:val="24"/></w:rPr><w:t>Contract between the Law Office of Andrew H. Griffin, III, APC (a “Debt Relief Agency”) and <<Client_Name>> (“Client”)</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This Engagement Agreement (“Contract”), is between Andrew H. Griffin, III, an attorney engaged in the practice law and a Debt Relief Agency within the meaning of the of the Bankruptcy Code and </w:t></w:r><w:r><w:rPr><w:rFonts w:cs="TimesNewRomanPS-BoldMT" w:ascii="Times;Times New Roman" w:hAnsi="Times;Times New Roman"/><w:b/><w:bCs/><w:szCs w:val="24"/></w:rPr><w:t xml:space="preserve"><<Client_Name>>. </w:t></w:r><w:r><w:rPr><w:rFonts w:cs="TimesNewRomanPS-BoldMT" w:ascii="Times;Times New Roman" w:hAnsi="Times;Times New Roman"/><w:szCs w:val="24"/></w:rPr><w:t>(“Client”), being “Consumer Assisted” within the meaning of the Bankruptcy Code and is dated September 9, 2025.</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Services to Be Provided</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Andrew H. Griffin, III, an attorney engaged in the practice of bankruptcy law (“Debt Relief Agency”), shall provide to </w:t></w:r><w:r><w:rPr><w:rFonts w:cs="TimesNewRomanPS-BoldMT" w:ascii="Times;Times New Roman" w:hAnsi="Times;Times New Roman"/><w:b/><w:bCs/><w:szCs w:val="24"/></w:rPr><w:t><<Client_Name>> (“</w:t></w:r><w:r><w:rPr><w:rFonts w:cs="TimesNewRomanPS-BoldMT" w:ascii="Times;Times New Roman" w:hAnsi="Times;Times New Roman"/><w:szCs w:val="24"/></w:rPr><w:t>Client”), (“Consumer Assisted”) shall include the following “Standard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I</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Attorney_Fee>>,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Attorney_Fee>>.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$850.00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Opposition to Motions for Relief from Stay</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$625.00</w:t><w:tab/><w:t xml:space="preserve">(Personal property) </w:t><w:tab/><w:tab/></w:r><w:r><w:rPr><w:rFonts w:cs="TimesNewRomanPS-BoldItalicMT;Times New Roman" w:ascii="Times;Times New Roman" w:hAnsi="Times;Times New Roman"/><w:szCs w:val="24"/></w:rPr><w:t>For fees and expenses of all services rendered in opposition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 xml:space="preserve">$850.00 </w:t><w:tab/><w:t xml:space="preserve">(Real property) </w:t><w:tab/><w:tab/></w:r><w:r><w:rPr><w:rFonts w:cs="TimesNewRomanPS-BoldItalicMT;Times New Roman" w:ascii="Times;Times New Roman" w:hAnsi="Times;Times New Roman"/><w:szCs w:val="24"/></w:rPr><w:t>to motions to modify or vacate automatic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Objections to Claim</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$330.00 (Uncontested objections without hearing) </w:t></w:r><w:r><w:rPr><w:rFonts w:cs="TimesNewRomanPS-BoldMT"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$500 (Contested objections with a hearing) </w:t></w:r><w:r><w:rPr><w:rFonts w:cs="TimesNewRomanPS-BoldMT"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Oppositions to Dismissal/Motions to Avoid Lien/Other Routine Pleadings $650.00</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Motions to Value Real Property, Treat Claim as Unsecured and Avoid Junior Lien (Lien Strips) $815.00</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$480.00 (Unopposed) </w:t></w:r><w:r><w:rPr><w:rFonts w:cs="TimesNewRomanPS-BoldMT" w:ascii="Times;Times New Roman" w:hAnsi="Times;Times New Roman"/><w:szCs w:val="24"/></w:rPr><w:t>for fees and expenses of all services rendered for preparing, filing.</w:t></w:r></w:p><w:p><w:pPr><w:pStyle w:val="Normal"/><w:widowControl w:val="false"/><w:autoSpaceDE w:val="false"/><w:jc w:val="both"/><w:rPr></w:rPr></w:pPr><w:r><w:rPr><w:rFonts w:cs="TimesNewRomanPS-BoldMT" w:ascii="Times;Times New Roman" w:hAnsi="Times;Times New Roman"/><w:b/><w:bCs/><w:szCs w:val="24"/></w:rPr><w:t xml:space="preserve">$725.00 (Opposed) </w:t></w:r><w:r><w:rPr><w:rFonts w:cs="TimesNewRomanPS-BoldMT"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szCs w:val="24"/></w:rPr><w:t>Initial fee charged in this case is $5,313.00 (which includes the $313.00 filing fee)</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Andrew H. Griffin, III, agrees to perform “Standard Services” for Client in consideration of an Attorneys Fee of </w:t></w:r><w:r><w:rPr><w:rFonts w:cs="TimesNewRomanPS-BoldMT" w:ascii="Times;Times New Roman" w:hAnsi="Times;Times New Roman"/><w:b/><w:szCs w:val="24"/></w:rPr><w:t><<Attorney_Fee>></w:t></w:r><w:r><w:rPr><w:rFonts w:cs="TimesNewRomanPS-BoldMT"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szCs w:val="24"/></w:rPr></w:pPr><w:r><w:rPr><w:rFonts w:cs="TimesNewRomanPS-BoldMT" w:ascii="Times;Times New Roman" w:hAnsi="Times;Times New Roman"/><w:b/><w:szCs w:val="24"/></w:rPr><w:t xml:space="preserve">• </w:t></w:r><w:r><w:rPr><w:rFonts w:cs="TimesNewRomanPS-BoldMT"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w:b/><w:szCs w:val="24"/></w:rPr></w:pPr><w:r><w:rPr><w:rFonts w:cs="TimesNewRomanPS-BoldMT" w:ascii="Times;Times New Roman" w:hAnsi="Times;Times New Roman"/><w:b/><w:szCs w:val="24"/></w:rPr><w:t xml:space="preserve">• </w:t></w:r><w:r><w:rPr><w:rFonts w:cs="TimesNewRomanPS-BoldMT"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w:b/><w:szCs w:val="24"/></w:rPr></w:pPr><w:r><w:rPr><w:rFonts w:cs="TimesNewRomanPS-BoldMT" w:ascii="Times;Times New Roman" w:hAnsi="Times;Times New Roman"/><w:b/><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All other disbursements made by Andrew H. Griffin, III, shall be reimbursed by client at the actual cost incurred. Client shall pay the sum of </w:t></w:r><w:r><w:rPr><w:rFonts w:cs="TimesNewRomanPS-BoldMT" w:ascii="Times;Times New Roman" w:hAnsi="Times;Times New Roman"/><w:b/><w:szCs w:val="24"/></w:rPr><w:t><<Discounted_Fee>></w:t></w:r><w:r><w:rPr><w:rFonts w:cs="TimesNewRomanPS-BoldMT"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 xml:space="preserve">Client agrees to pay an Attorney’s fee for legal services beyond “Standard Services” at the prevailing hourly rates of </w:t></w:r><w:r><w:rPr><w:rFonts w:cs="TimesNewRomanPS-BoldMT" w:ascii="Times;Times New Roman" w:hAnsi="Times;Times New Roman"/><w:b/><w:szCs w:val="24"/></w:rPr><w:t>$495.00/hour</w:t></w:r><w:r><w:rPr><w:rFonts w:cs="TimesNewRomanPS-BoldMT"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These documents include: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 </w:t></w:r><w:r><w:rPr><w:rFonts w:cs="TimesNewRomanPS-BoldMT"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 w:ascii="Times;Times New Roman" w:hAnsi="Times;Times New Roman"/><w:b/><w:bCs/><w:szCs w:val="24"/></w:rPr><w:t xml:space="preserve">joint case </w:t></w:r><w:r><w:rPr><w:rFonts w:cs="TimesNewRomanPS-BoldMT"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 w:ascii="Times;Times New Roman" w:hAnsi="Times;Times New Roman"/><w:szCs w:val="24"/></w:rPr><w:t xml:space="preserve">The briefing must be given within 180 days </w:t></w:r><w:r><w:rPr><w:rFonts w:cs="TimesNewRomanPS-BoldMT" w:ascii="Times;Times New Roman" w:hAnsi="Times;Times New Roman"/><w:b/><w:bCs/><w:szCs w:val="24"/></w:rPr><w:t xml:space="preserve">before </w:t></w:r><w:r><w:rPr><w:rFonts w:cs="TimesNewRomanPS-BoldMT" w:ascii="Times;Times New Roman" w:hAnsi="Times;Times New Roman"/><w:szCs w:val="24"/></w:rPr><w:t>the bankruptcy filing. The</w:t></w:r><w:r><w:rPr><w:rFonts w:cs="TimesNewRomanPS-BoldMT" w:ascii="Times;Times New Roman" w:hAnsi="Times;Times New Roman"/><w:b/><w:bCs/><w:szCs w:val="24"/></w:rPr><w:t xml:space="preserve"> </w:t></w:r><w:r><w:rPr><w:rFonts w:cs="TimesNewRomanPS-BoldMT" w:ascii="Times;Times New Roman" w:hAnsi="Times;Times New Roman"/><w:szCs w:val="24"/></w:rPr><w:t>briefing may be provided individually or in a group (including briefings conducted by telephone or on the Internet) and must be</w:t></w:r><w:r><w:rPr><w:rFonts w:cs="TimesNewRomanPS-BoldMT" w:ascii="Times;Times New Roman" w:hAnsi="Times;Times New Roman"/><w:b/><w:bCs/><w:szCs w:val="24"/></w:rPr><w:t xml:space="preserve"> </w:t></w:r><w:r><w:rPr><w:rFonts w:cs="TimesNewRomanPS-BoldMT"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 w:ascii="Times;Times New Roman" w:hAnsi="Times;Times New Roman"/><w:szCs w:val="24"/></w:rPr><w:t>The clerk also has a list of approved financial management</w:t></w:r><w:r><w:rPr><w:rFonts w:cs="TimesNewRomanPS-BoldMT" w:ascii="Times;Times New Roman" w:hAnsi="Times;Times New Roman"/><w:b/><w:bCs/><w:szCs w:val="24"/></w:rPr><w:t xml:space="preserve"> </w:t></w:r><w:r><w:rPr><w:rFonts w:cs="TimesNewRomanPS-BoldMT"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Chapter 7: Liquidation ($245 filing fee, $75 administrative fee, $15 trustee surcharge: Total Fee $335)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Chapter 7 is designed for debtors in financial difficulty who do not have the ability to pay their existing debts.</w:t></w:r><w:r><w:rPr><w:rFonts w:cs="TimesNewRomanPS-BoldMT" w:ascii="Times;Times New Roman" w:hAnsi="Times;Times New Roman"/><w:b/><w:bCs/><w:szCs w:val="24"/></w:rPr><w:t xml:space="preserve"> </w:t></w:r><w:r><w:rPr><w:rFonts w:cs="TimesNewRomanPS-BoldMT" w:ascii="Times;Times New Roman" w:hAnsi="Times;Times New Roman"/><w:szCs w:val="24"/></w:rPr><w:t>Debtors whose debts are primarily consumer debts are subject to a “means test” designed to determine whether the case</w:t></w:r><w:r><w:rPr><w:rFonts w:cs="TimesNewRomanPS-BoldMT" w:ascii="Times;Times New Roman" w:hAnsi="Times;Times New Roman"/><w:b/><w:bCs/><w:szCs w:val="24"/></w:rPr><w:t xml:space="preserve"> </w:t></w:r><w:r><w:rPr><w:rFonts w:cs="TimesNewRomanPS-BoldMT" w:ascii="Times;Times New Roman" w:hAnsi="Times;Times New Roman"/><w:szCs w:val="24"/></w:rPr><w:t>should be permitted to proceed under chapter 7. If your income is greater than the median income for your state of</w:t></w:r><w:r><w:rPr><w:rFonts w:cs="TimesNewRomanPS-BoldMT" w:ascii="Times;Times New Roman" w:hAnsi="Times;Times New Roman"/><w:b/><w:bCs/><w:szCs w:val="24"/></w:rPr><w:t xml:space="preserve"> </w:t></w:r><w:r><w:rPr><w:rFonts w:cs="TimesNewRomanPS-BoldMT" w:ascii="Times;Times New Roman" w:hAnsi="Times;Times New Roman"/><w:szCs w:val="24"/></w:rPr><w:t>residence and family size, in some cases, the United States trustee (or bankruptcy administrator), the trustee, or creditors</w:t></w:r><w:r><w:rPr><w:rFonts w:cs="TimesNewRomanPS-BoldMT" w:ascii="Times;Times New Roman" w:hAnsi="Times;Times New Roman"/><w:b/><w:bCs/><w:szCs w:val="24"/></w:rPr><w:t xml:space="preserve"> </w:t></w:r><w:r><w:rPr><w:rFonts w:cs="TimesNewRomanPS-BoldMT" w:ascii="Times;Times New Roman" w:hAnsi="Times;Times New Roman"/><w:szCs w:val="24"/></w:rPr><w:t>have the right to file a motion requesting that the court dismiss your case under §707(b) of the Code. It is up to the court</w:t></w:r><w:r><w:rPr><w:rFonts w:cs="TimesNewRomanPS-BoldMT" w:ascii="Times;Times New Roman" w:hAnsi="Times;Times New Roman"/><w:b/><w:bCs/><w:szCs w:val="24"/></w:rPr><w:t xml:space="preserve"> </w:t></w:r><w:r><w:rPr><w:rFonts w:cs="TimesNewRomanPS-BoldMT"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Chapter 11: Reorganization ($1,167 filing fee, $550 administrative fee: Total Fee $1,717)</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Chapter 12: Family Farmer or Fisherman ($200 filing fee, $75 administrative fee: Total Fee $275)</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 xml:space="preserve">WARNING: </w:t></w:r><w:r><w:rPr><w:rFonts w:cs="TimesNewRomanPS-BoldMT"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 w:ascii="Times;Times New Roman" w:hAnsi="Times;Times New Roman"/><w:szCs w:val="24"/></w:rPr><w:instrText xml:space="preserve"> HYPERLINK &quot;http://www.uscourts.gov/bkforms/bankruptcy_forms.html&quot; \l &quot;procedure&quot;</w:instrText></w:r><w:r><w:rPr><w:rStyle w:val="Hyperlink"/><w:rFonts w:cs="TimesNewRomanPS-BoldMT" w:ascii="Times;Times New Roman" w:hAnsi="Times;Times New Roman"/><w:szCs w:val="24"/></w:rPr><w:fldChar w:fldCharType="separate"/></w:r><w:r><w:rPr><w:rStyle w:val="Hyperlink"/><w:rFonts w:cs="TimesNewRomanPS-BoldMT" w:ascii="Times;Times New Roman" w:hAnsi="Times;Times New Roman"/><w:szCs w:val="24"/></w:rPr><w:t>http://www.uscourts.gov/bkforms/bankruptcy_forms.html#procedure</w:t></w:r><w:r><w:rPr><w:rStyle w:val="Hyperlink"/><w:rFonts w:cs="TimesNewRomanPS-BoldMT" w:ascii="Times;Times New Roman" w:hAnsi="Times;Times New Roman"/><w:szCs w:val="24"/></w:rPr><w:fldChar w:fldCharType="end"/></w:r><w:r><w:rPr><w:rFonts w:cs="TimesNewRomanPS-BoldMT" w:ascii="Times;Times New Roman" w:hAnsi="Times;Times New Roman"/><w:szCs w:val="24"/></w:rPr><w: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w:t></w:r><w:r><w:rPr><w:rFonts w:cs="TimesNewRomanPS-BoldMT"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w:t></w:r><w:r><w:rPr><w:rFonts w:cs="TimesNewRomanPS-BoldMT"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w:t></w:r><w:r><w:rPr><w:rFonts w:cs="TimesNewRomanPS-BoldMT"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CONSPICUOUSLY INFORM YOU THAT:</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center"/><w:rPr></w:rPr></w:pPr><w:r><w:rPr><w:rFonts w:cs="TimesNewRomanPS-BoldMT" w:ascii="Times;Times New Roman" w:hAnsi="Times;Times New Roman"/><w:b/><w:bCs/><w:szCs w:val="24"/></w:rPr><w:t>“</w:t></w:r><w:r><w:rPr><w:rFonts w:cs="TimesNewRomanPS-BoldMT" w:ascii="Times;Times New Roman" w:hAnsi="Times;Times New Roman"/><w:b/><w:bCs/><w:szCs w:val="24"/></w:rPr><w:t>WE ARE A DEBT RELIEF AGENCY. WE HELP PEOPLE FILE FOR</w:t></w:r></w:p><w:p><w:pPr><w:pStyle w:val="Normal"/><w:widowControl w:val="false"/><w:autoSpaceDE w:val="false"/><w:jc w:val="center"/><w:rPr></w:rPr></w:pPr><w:r><w:rPr><w:rFonts w:cs="TimesNewRomanPS-BoldMT"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w:b/><w:bCs/><w:szCs w:val="24"/></w:rPr></w:pPr><w:r><w:rPr><w:rFonts w:cs="Times;Times New Roman" w:ascii="Times;Times New Roman" w:hAnsi="Times;Times New Roman"/><w:b/></w:rPr><w:t xml:space="preserve">Andrew H. Griffin, III, APC  </w:t><w:tab/></w:r><w:r><w:rPr><w:rFonts w:cs="TimesNewRomanPS-BoldMT"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 w:ascii="Times;Times New Roman" w:hAnsi="Times;Times New Roman"/><w:b/><w:bCs/><w:szCs w:val="24"/></w:rPr><w:t>“</w:t></w:r><w:r><w:rPr><w:rFonts w:cs="TimesNewRomanPS-BoldMT"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You are notified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4. After reasonable inquiry you are required to state your current monthly income.</w:t></w:r><w:r><w:rPr><w:rFonts w:cs="TimesNewRomanPS-BoldMT"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5. After reasonable inquiry you are required to state the amounts set out in Section</w:t></w:r><w:r><w:rPr><w:rFonts w:cs="TimesNewRomanPS-BoldMT"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6. In a case under Chapter 13, after reasonable inquiry, you are required to state your</w:t></w:r><w:r><w:rPr><w:rFonts w:cs="TimesNewRomanPS-BoldMT"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7. Information that you provide during your case may be audited pursuant to the</w:t></w:r><w:r><w:rPr><w:rFonts w:cs="TimesNewRomanPS-BoldMT"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Current Monthly Income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Disposable Income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_____ 1. READ AND FILL OUT THE FORMS COMPLETELY, ACCURATELY, AND NEATLY.</w:t></w:r></w:p><w:p><w:pPr><w:pStyle w:val="Normal"/><w:widowControl w:val="false"/><w:autoSpaceDE w:val="false"/><w:jc w:val="both"/><w:rPr></w:rPr></w:pPr><w:r><w:rPr><w:rFonts w:cs="TimesNewRomanPS-BoldMT"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_____ 3. List ALL your property.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_____ 4. List all your debts.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c) You must list debts that you cosigned for someone else or that someone else cosigned</w:t></w:r><w:r><w:rPr><w:rFonts w:cs="TimesNewRomanPS-BoldMT"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5. Attach additional sheets if you do not have sufficient space to include all the</w:t></w:r><w:r><w:rPr><w:rFonts w:cs="TimesNewRomanPS-BoldMT"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6. In determining the amount you owe each creditor, list the amount on your most current</w:t></w:r><w:r><w:rPr><w:rFonts w:cs="TimesNewRomanPS-BoldMT"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7. If a creditor is still communicating with you, use the address supplied by the creditor in</w:t></w:r><w:r><w:rPr><w:rFonts w:cs="TimesNewRomanPS-BoldMT"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8. List the account number, if any, for each debt.</w:t></w:r><w:r><w:rPr><w:rFonts w:cs="TimesNewRomanPS-BoldMT" w:ascii="Times;Times New Roman" w:hAnsi="Times;Times New Roman"/><w:szCs w:val="24"/></w:rPr><w:t xml:space="preserve">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1. Copies of all pay stubs, payment advances, or other evidence of payment received</w:t></w:r><w:r><w:rPr><w:rFonts w:cs="TimesNewRomanPS-BoldMT"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2. A statement of the amount of monthly net income itemized to show how the amount is</w:t></w:r><w:r><w:rPr><w:rFonts w:cs="TimesNewRomanPS-BoldMT"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3. A statement disclosing any reasonably anticipated increase in income or expenditures</w:t></w:r><w:r><w:rPr><w:rFonts w:cs="TimesNewRomanPS-BoldMT"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4.</w:t></w:r><w:r><w:rPr><w:rFonts w:cs="TimesNewRomanPS-BoldMT"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If you developed a debt repayment plan as a result of the briefing, a copy of the</w:t></w:r><w:r><w:rPr><w:rFonts w:cs="TimesNewRomanPS-BoldMT"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5. A record of any interest you have in an educational individual retirement account or</w:t></w:r><w:r><w:rPr><w:rFonts w:cs="TimesNewRomanPS-BoldMT"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6. A copy of your federal income tax return, or a transcript of the return, for the most</w:t></w:r><w:r><w:rPr><w:rFonts w:cs="TimesNewRomanPS-BoldMT"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7. If the Court, the United States Trustee, or any other party to your case requests it, you</w:t></w:r><w:r><w:rPr><w:rFonts w:cs="TimesNewRomanPS-BoldMT"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a. A copy of each federal income tax return, or transcript of the return, required for</w:t></w:r><w:r><w:rPr><w:rFonts w:cs="TimesNewRomanPS-BoldMT"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A copy of each required federal income tax return that had not been filed with</w:t></w:r><w:r><w:rPr><w:rFonts w:cs="TimesNewRomanPS-BoldMT"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c. A copy of each amendment to any federal income tax return or a transcript of</w:t></w:r><w:r><w:rPr><w:rFonts w:cs="TimesNewRomanPS-BoldMT"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8.</w:t></w:r><w:r><w:rPr><w:rFonts w:cs="TimesNewRomanPS-BoldMT"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The statement set out above must disclose the amount and services of your</w:t></w:r><w:r><w:rPr><w:rFonts w:cs="TimesNewRomanPS-BoldMT"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auto"/>
    <w:pitch w:val="variable"/>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6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2025-01-20T09:58:00Z</dcterms:created>
  <dc:creator>Andrew H. Griffin,III</dc:creator>
  <dc:description/>
  <cp:keywords/>
  <dc:language>en-US</dc:language>
  <cp:lastModifiedBy>Andrew Griffin</cp:lastModifiedBy>
  <cp:lastPrinted>2019-07-16T08:52:00Z</cp:lastPrinted>
  <dcterms:modified xsi:type="dcterms:W3CDTF">2025-09-09T18:28:00Z</dcterms:modified>
  <cp:revision>16</cp:revision>
  <dc:subject/>
  <dc:title>Law Offices of</dc:title>
</cp:coreProperties>
</file>