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-688975</wp:posOffset>
            </wp:positionH>
            <wp:positionV relativeFrom="margin">
              <wp:posOffset>-601980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fldChar w:fldCharType="begin"/>
      </w:r>
      <w:r>
        <w:rPr>
          <w:rFonts w:cs="Times;Times New Roman" w:ascii="Times;Times New Roman" w:hAnsi="Times;Times New Roman"/>
        </w:rPr>
        <w:instrText xml:space="preserve"> DATE \@"MMMM\ d', 'yyyy" </w:instrText>
      </w:r>
      <w:r>
        <w:rPr>
          <w:rFonts w:cs="Times;Times New Roman" w:ascii="Times;Times New Roman" w:hAnsi="Times;Times New Roman"/>
        </w:rPr>
        <w:fldChar w:fldCharType="separate"/>
      </w:r>
      <w:r>
        <w:rPr>
          <w:rFonts w:cs="Times;Times New Roman" w:ascii="Times;Times New Roman" w:hAnsi="Times;Times New Roman"/>
        </w:rPr>
        <w:t>April 7, 2026</w:t>
      </w:r>
      <w:r>
        <w:rPr>
          <w:rFonts w:cs="Times;Times New Roman" w:ascii="Times;Times New Roman" w:hAnsi="Times;Times New Roman"/>
        </w:rPr>
        <w:fldChar w:fldCharType="end"/>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Contrato entre el Bufete Jurídico de Andrew H. Griffin, III, APC (una “Agencia de Alivio de Deudas”) y Juan Morales (“Cliente(s)”)</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rPr>
          <w:rFonts w:ascii="Times;Times New Roman" w:hAnsi="Times;Times New Roman" w:cs="TimesNewRomanPS-BoldMT"/>
          <w:szCs w:val="24"/>
          <w:lang w:val="es-ES"/>
        </w:rPr>
      </w:pPr>
      <w:r>
        <w:rPr>
          <w:rFonts w:cs="TimesNewRomanPS-BoldMT" w:ascii="Times;Times New Roman" w:hAnsi="Times;Times New Roman"/>
          <w:szCs w:val="24"/>
          <w:lang w:val="es-ES"/>
        </w:rPr>
        <w:t>Este Acuerdo de Compromiso (“Contrato”), es entre Andrew H. Griffin, III, un abogado dedicado a la práctica legal y una Agencia de Alivio de Deudas en el sentido del Código de Quiebras y el Cliente(s), siendo “Persona(s) Asistida(s)” en el sentido del Código de Quiebras y está fechado el 25 de Julio de 2025.</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Servicios a Prestar</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szCs w:val="24"/>
          <w:lang w:val="es-ES"/>
        </w:rPr>
        <w:t>Andrew H. Griffin, III, abogado especializado en derecho de bancarrotas (“Agencia de Alivio de Deudas”), proporcionará a sus clientes (“Persona(s) Asistida(s)”) los siguientes “Servicios Estándar”:</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Servicios incluidos en la tarifa inicial cobrada</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Los siguientes son los servicios que un abogado debe proporcionar como parte de los honorarios iniciales que se cobran por la representación en un caso del Capítulo 7:</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 Reunirse con el deudor para revisar sus activos, pasivos, ingresos y gastos.</w:t>
      </w:r>
    </w:p>
    <w:p>
      <w:pPr>
        <w:pStyle w:val="Normal"/>
        <w:widowControl w:val="false"/>
        <w:autoSpaceDE w:val="false"/>
        <w:jc w:val="both"/>
        <w:rPr/>
      </w:pPr>
      <w:r>
        <w:rPr>
          <w:rFonts w:cs="TimesNewRomanPS-BoldMT" w:ascii="Times;Times New Roman" w:hAnsi="Times;Times New Roman"/>
          <w:szCs w:val="24"/>
          <w:lang w:val="es-ES"/>
        </w:rPr>
        <w:t>2. Analizar la situación financiera del deudor y asesorarlo para determinar si procede presentar una solicitud de quiebra.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3. Describir el propósito, los beneficios y los costos de los Capítulos que el deudor puede presentar, asesorar al deudor sobre la conveniencia de presentar un caso de Capítulo 7, 11 o 13 y responder las preguntas del deudor.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4. Informar al deudor sobre el requisito de asistir a la Reunión de Acreedores de la Sección 341(a) e instruirlo sobre la fecha, hora y lugar de la reunión.</w:t>
      </w:r>
    </w:p>
    <w:p>
      <w:pPr>
        <w:pStyle w:val="Normal"/>
        <w:widowControl w:val="false"/>
        <w:autoSpaceDE w:val="false"/>
        <w:jc w:val="both"/>
        <w:rPr/>
      </w:pPr>
      <w:r>
        <w:rPr>
          <w:rFonts w:cs="TimesNewRomanPS-BoldMT" w:ascii="Times;Times New Roman" w:hAnsi="Times;Times New Roman"/>
          <w:szCs w:val="24"/>
          <w:lang w:val="es-ES"/>
        </w:rPr>
        <w:t>5. Informar al deudor sobre la necesidad de mantener seguros de responsabilidad civil, de colisión y contra todo riesgo en los vehículos que garanticen préstamos o arrendamientos.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Informar al deudor sobre la necesidad de mantener seguros de responsabilidad civil, de colisión y contra todo riesgo en los vehículos que respaldan préstamos o arrendamientos.</w:t>
      </w:r>
    </w:p>
    <w:p>
      <w:pPr>
        <w:pStyle w:val="Normal"/>
        <w:widowControl w:val="false"/>
        <w:autoSpaceDE w:val="false"/>
        <w:jc w:val="both"/>
        <w:rPr/>
      </w:pPr>
      <w:r>
        <w:rPr>
          <w:rFonts w:cs="TimesNewRomanPS-BoldMT" w:ascii="Times;Times New Roman" w:hAnsi="Times;Times New Roman"/>
          <w:szCs w:val="24"/>
          <w:lang w:val="es-ES"/>
        </w:rPr>
        <w:t>6. Preparar, presentar y notificar oportunamente, según se requiera, la petición del deudor, los anexos, la declaración de situación financiera y cualquier modificación necesaria al Anexo C.</w:t>
      </w:r>
    </w:p>
    <w:p>
      <w:pPr>
        <w:pStyle w:val="Normal"/>
        <w:widowControl w:val="false"/>
        <w:autoSpaceDE w:val="false"/>
        <w:jc w:val="both"/>
        <w:rPr/>
      </w:pPr>
      <w:r>
        <w:rPr>
          <w:rFonts w:cs="TimesNewRomanPS-BoldMT" w:ascii="Times;Times New Roman" w:hAnsi="Times;Times New Roman"/>
          <w:szCs w:val="24"/>
          <w:lang w:val="es-ES"/>
        </w:rPr>
        <w:t>7. Proporcionar documentos de conformidad con las Directrices del Fideicomisario y cualquier otra información solicitada por el Fideicomisario del Capítulo 7 o la Oficina del Fideicomisario de los Estados Unidos.</w:t>
      </w:r>
    </w:p>
    <w:p>
      <w:pPr>
        <w:pStyle w:val="Normal"/>
        <w:widowControl w:val="false"/>
        <w:autoSpaceDE w:val="false"/>
        <w:jc w:val="both"/>
        <w:rPr/>
      </w:pPr>
      <w:r>
        <w:rPr>
          <w:rFonts w:cs="TimesNewRomanPS-BoldMT" w:ascii="Times;Times New Roman" w:hAnsi="Times;Times New Roman"/>
          <w:szCs w:val="24"/>
          <w:lang w:val="es-ES"/>
        </w:rPr>
        <w:t>8. Proporcionar una copia ejecutada de los Derechos y Responsabilidades de los Deudores del Capítulo 7 y sus Abogados al deudor.</w:t>
      </w:r>
    </w:p>
    <w:p>
      <w:pPr>
        <w:pStyle w:val="Normal"/>
        <w:widowControl w:val="false"/>
        <w:autoSpaceDE w:val="false"/>
        <w:jc w:val="both"/>
        <w:rPr/>
      </w:pPr>
      <w:r>
        <w:rPr>
          <w:rFonts w:cs="TimesNewRomanPS-BoldMT" w:ascii="Times;Times New Roman" w:hAnsi="Times;Times New Roman"/>
          <w:szCs w:val="24"/>
          <w:lang w:val="es-ES"/>
        </w:rPr>
        <w:t>9. Comparecer y representar al deudor en la Reunión de Acreedores de la Sección 341(a) y en cualquier reunión continuada, excepto como se establece en la Sección II.</w:t>
      </w:r>
    </w:p>
    <w:p>
      <w:pPr>
        <w:pStyle w:val="Normal"/>
        <w:widowControl w:val="false"/>
        <w:autoSpaceDE w:val="false"/>
        <w:jc w:val="both"/>
        <w:rPr/>
      </w:pPr>
      <w:r>
        <w:rPr>
          <w:rFonts w:cs="TimesNewRomanPSMT;Times New Roman" w:ascii="Times;Times New Roman" w:hAnsi="Times;Times New Roman"/>
          <w:szCs w:val="24"/>
          <w:lang w:val="es-ES"/>
        </w:rPr>
        <w:t>10.</w:t>
      </w:r>
      <w:r>
        <w:rPr>
          <w:rFonts w:cs="TimesNewRomanPS-BoldMT" w:ascii="Times;Times New Roman" w:hAnsi="Times;Times New Roman"/>
          <w:szCs w:val="24"/>
          <w:lang w:val="es-ES"/>
        </w:rPr>
        <w:t xml:space="preserve"> Presentar el Certificado de Educación del Deudor si fue completado por el deudor y proporcionado al abogado antes de que se cierre el caso</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11. El abogado tendrá la obligación continua de ayudar al deudor devolviendo llamadas telefónicas, respondiendo preguntas y revisando y enviando correspondencia.</w:t>
      </w:r>
    </w:p>
    <w:p>
      <w:pPr>
        <w:pStyle w:val="Normal"/>
        <w:widowControl w:val="false"/>
        <w:autoSpaceDE w:val="false"/>
        <w:jc w:val="both"/>
        <w:rPr/>
      </w:pPr>
      <w:r>
        <w:rPr>
          <w:rFonts w:cs="TimesNewRomanPS-BoldMT" w:ascii="Times;Times New Roman" w:hAnsi="Times;Times New Roman"/>
          <w:szCs w:val="24"/>
          <w:lang w:val="es-ES"/>
        </w:rPr>
        <w:t>12. Responder y defender objeciones a reclamos de exención que surjan de errores de abogado en el Anexo C.</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Tarifas y cargos por servicios y condiciones de pago</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szCs w:val="24"/>
          <w:lang w:val="es-ES"/>
        </w:rPr>
        <w:t>Andrew H. Griffin, III, se compromete a prestar los «Servicios Estándar» al Cliente a cambio de honorarios de abogado por $2,433.00, más todos los gastos desembolsados o por desembolsar en nombre del Cliente. El cronograma de gastos que se suelen desembolsar en relación con los «Servicios Estándar» es el siguiente</w:t>
      </w:r>
    </w:p>
    <w:p>
      <w:pPr>
        <w:pStyle w:val="Normal"/>
        <w:widowControl w:val="false"/>
        <w:autoSpaceDE w:val="false"/>
        <w:jc w:val="both"/>
        <w:rPr>
          <w:rFonts w:ascii="Times;Times New Roman" w:hAnsi="Times;Times New Roman" w:cs="TimesNewRomanPS-BoldMT"/>
          <w:b/>
          <w:szCs w:val="24"/>
          <w:lang w:val="es-ES"/>
        </w:rPr>
      </w:pPr>
      <w:r>
        <w:rPr>
          <w:rFonts w:cs="TimesNewRomanPS-BoldMT" w:ascii="Times;Times New Roman" w:hAnsi="Times;Times New Roman"/>
          <w:b/>
          <w:szCs w:val="24"/>
          <w:lang w:val="es-ES"/>
        </w:rPr>
      </w:r>
    </w:p>
    <w:p>
      <w:pPr>
        <w:pStyle w:val="Normal"/>
        <w:widowControl w:val="false"/>
        <w:autoSpaceDE w:val="false"/>
        <w:jc w:val="both"/>
        <w:rPr>
          <w:rFonts w:ascii="Times;Times New Roman" w:hAnsi="Times;Times New Roman" w:cs="TimesNewRomanPS-BoldMT"/>
          <w:b/>
          <w:szCs w:val="24"/>
          <w:lang w:val="es-ES"/>
        </w:rPr>
      </w:pPr>
      <w:r>
        <w:rPr>
          <w:rFonts w:cs="TimesNewRomanPS-BoldMT" w:ascii="Times;Times New Roman" w:hAnsi="Times;Times New Roman"/>
          <w:b/>
          <w:szCs w:val="24"/>
          <w:lang w:val="es-ES"/>
        </w:rPr>
        <w:t>Costo de presentación (caso del Capítulo 7): $338.00</w:t>
      </w:r>
    </w:p>
    <w:p>
      <w:pPr>
        <w:pStyle w:val="Normal"/>
        <w:widowControl w:val="false"/>
        <w:autoSpaceDE w:val="false"/>
        <w:jc w:val="both"/>
        <w:rPr>
          <w:rFonts w:ascii="Times;Times New Roman" w:hAnsi="Times;Times New Roman" w:cs="TimesNewRomanPS-BoldMT"/>
          <w:b/>
          <w:szCs w:val="24"/>
          <w:lang w:val="es-ES"/>
        </w:rPr>
      </w:pPr>
      <w:r>
        <w:rPr>
          <w:rFonts w:cs="TimesNewRomanPS-BoldMT" w:ascii="Times;Times New Roman" w:hAnsi="Times;Times New Roman"/>
          <w:b/>
          <w:szCs w:val="24"/>
          <w:lang w:val="es-ES"/>
        </w:rPr>
        <w:t xml:space="preserve">• </w:t>
      </w:r>
      <w:r>
        <w:rPr>
          <w:rFonts w:cs="TimesNewRomanPS-BoldMT" w:ascii="Times;Times New Roman" w:hAnsi="Times;Times New Roman"/>
          <w:b/>
          <w:szCs w:val="24"/>
          <w:lang w:val="es-ES"/>
        </w:rPr>
        <w:t>Costo de presentación (caso del Capítulo 13): $313.00</w:t>
      </w:r>
    </w:p>
    <w:p>
      <w:pPr>
        <w:pStyle w:val="Normal"/>
        <w:widowControl w:val="false"/>
        <w:autoSpaceDE w:val="false"/>
        <w:jc w:val="both"/>
        <w:rPr>
          <w:rFonts w:ascii="Times;Times New Roman" w:hAnsi="Times;Times New Roman" w:cs="TimesNewRomanPS-BoldMT"/>
          <w:b/>
          <w:szCs w:val="24"/>
          <w:lang w:val="es-ES"/>
        </w:rPr>
      </w:pPr>
      <w:r>
        <w:rPr>
          <w:rFonts w:cs="TimesNewRomanPS-BoldMT" w:ascii="Times;Times New Roman" w:hAnsi="Times;Times New Roman"/>
          <w:b/>
          <w:szCs w:val="24"/>
          <w:lang w:val="es-ES"/>
        </w:rPr>
      </w:r>
    </w:p>
    <w:p>
      <w:pPr>
        <w:pStyle w:val="Normal"/>
        <w:widowControl w:val="false"/>
        <w:autoSpaceDE w:val="false"/>
        <w:jc w:val="both"/>
        <w:rPr/>
      </w:pPr>
      <w:r>
        <w:rPr>
          <w:rFonts w:cs="TimesNewRomanPS-BoldMT" w:ascii="Times;Times New Roman" w:hAnsi="Times;Times New Roman"/>
          <w:szCs w:val="24"/>
          <w:lang w:val="es-ES"/>
        </w:rPr>
        <w:t xml:space="preserve">Todos los demás desembolsos realizados por Andrew H. Griffin, III, serán reembolsados por el cliente al costo real incurrido. </w:t>
      </w:r>
      <w:r>
        <w:rPr>
          <w:rFonts w:cs="TimesNewRomanPS-BoldMT" w:ascii="Times;Times New Roman" w:hAnsi="Times;Times New Roman"/>
          <w:b/>
          <w:bCs/>
          <w:szCs w:val="24"/>
          <w:u w:val="single"/>
          <w:lang w:val="es-ES"/>
        </w:rPr>
        <w:t>El cliente deberá pagar el descuento de $2,333.00 al momento de la firma de este Contrato, que se aplicará primero a la tarifa de presentación correspondiente, luego a los desembolsos y finalmente a las tarifas.</w:t>
      </w:r>
    </w:p>
    <w:p>
      <w:pPr>
        <w:pStyle w:val="Normal"/>
        <w:widowControl w:val="false"/>
        <w:autoSpaceDE w:val="false"/>
        <w:jc w:val="both"/>
        <w:rPr>
          <w:rFonts w:ascii="Times;Times New Roman" w:hAnsi="Times;Times New Roman" w:cs="TimesNewRomanPS-BoldMT"/>
          <w:b/>
          <w:bCs/>
          <w:szCs w:val="24"/>
          <w:u w:val="single"/>
          <w:lang w:val="es-ES"/>
        </w:rPr>
      </w:pPr>
      <w:r>
        <w:rPr>
          <w:rFonts w:cs="TimesNewRomanPS-BoldMT" w:ascii="Times;Times New Roman" w:hAnsi="Times;Times New Roman"/>
          <w:b/>
          <w:bCs/>
          <w:szCs w:val="24"/>
          <w:u w:val="single"/>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Los clientes perderán el descuento si el pago no se realiza en su totalidad al momento de la ejecución del acuerdo y abonan la cantidad de $2,433.00 antes de presentar la Petición.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Si se aprueba un plan de pago, el abogado enviará cartas a todos los acreedores después del pago de $500.00. La transmisión de las cartas constituye la obtención de los $500.00 si el cliente no presenta la solicitud de quiebra.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T</w:t>
      </w:r>
      <w:r>
        <w:rPr>
          <w:rFonts w:cs="TimesNewRomanPS-BoldMT" w:ascii="Times;Times New Roman" w:hAnsi="Times;Times New Roman"/>
          <w:b/>
          <w:bCs/>
          <w:szCs w:val="24"/>
          <w:lang w:val="es-ES"/>
        </w:rPr>
        <w:t>odos los desembolsos y honorarios deben pagarse en su totalidad antes de que Andrew H. Griffin, III presente una petición bajo el Código de Quiebras.</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szCs w:val="24"/>
          <w:lang w:val="es-ES"/>
        </w:rPr>
        <w:t>Si el Cliente no paga el monto solicitado en su totalidad dentro de los seis (6) meses siguientes a la ejecución de este contrato, se deberá abonar un monto adicional de $250.00 para volver a redactar la Petición de Quiebra y los Anexos.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El Código de Quiebras exige que informe al Cliente que ninguna disposición de este Contrato se considerará un consejo para que el Cliente pague honorarios de abogado a una Agencia de Alivio de Deudas. Asimismo, declaro expresamente que el Cliente no incurrirá, bajo ninguna circunstancia, en deuda adicional para cumplir con sus obligaciones en virtud de este Contrato.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El Cliente acepta pagar los honorarios de un abogado por servicios legales adicionales a los "Servicios Estándar" a la tarifa vigente de $495.00 por hora. La tarifa por hora está sujeta a cambios anuales el 1 de enero y, en cualquier momento, mediante notificación por escrito con 30 días de anticipación al Cliente. Andrew H. Griffin, III, podrá requerir un anticipo adicional por servicios adicionales a los "Servicios Estándar" ("Servicios Adicionales") y no estará obligado a prestar dichos servicios sin haber recibido previamente un anticipo adicional para garantizar el pago de dichos servicios.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Ejemplos de “Servicios Adicionales” incluyen, entre otros:</w:t>
      </w:r>
    </w:p>
    <w:p>
      <w:pPr>
        <w:pStyle w:val="Normal"/>
        <w:widowControl w:val="false"/>
        <w:autoSpaceDE w:val="false"/>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II</w:t>
      </w:r>
    </w:p>
    <w:p>
      <w:pPr>
        <w:pStyle w:val="Normal"/>
        <w:widowControl w:val="false"/>
        <w:autoSpaceDE w:val="false"/>
        <w:jc w:val="center"/>
        <w:rPr/>
      </w:pPr>
      <w:r>
        <w:rPr>
          <w:rFonts w:cs="TimesNewRomanPS-BoldMT" w:ascii="Times;Times New Roman" w:hAnsi="Times;Times New Roman"/>
          <w:b/>
          <w:bCs/>
          <w:szCs w:val="24"/>
          <w:lang w:val="es-ES"/>
        </w:rPr>
        <w:t xml:space="preserve">Servicios incluidos como parte de la representación del Capítulo 7, </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sujetos a un cargo adicional.</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Los siguientes son servicios, incluidos como parte de la representación del deudor, pero por los cuales el abogado puede cobrar honorarios adicionales.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 Representación en cualquier junta de acreedores continuada debido a la incomparecencia del cliente o a la falta de presentación de los documentos requeridos o una identificación aceptable;</w:t>
      </w:r>
    </w:p>
    <w:p>
      <w:pPr>
        <w:pStyle w:val="Normal"/>
        <w:widowControl w:val="false"/>
        <w:autoSpaceDE w:val="false"/>
        <w:jc w:val="both"/>
        <w:rPr/>
      </w:pPr>
      <w:r>
        <w:rPr>
          <w:rFonts w:cs="TimesNewRomanPS-BoldMT" w:ascii="Times;Times New Roman" w:hAnsi="Times;Times New Roman"/>
          <w:szCs w:val="24"/>
          <w:lang w:val="es-ES"/>
        </w:rPr>
        <w:t>2. Enmiendas, excepto que no se cobrará ninguna tarifa por cualquier enmienda al Anexo C que pueda requerirse como resultado de un error del abogado;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3. Oposición a Mociones de Exención de la Suspensión;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4. Acuerdos de Reafirmación y audiencias sobre Acuerdos de Reafirmación;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5. Mociones de Redención y audiencias sobre Mociones de Redención;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6. Preparación, presentación u objeción de Pruebas de Reclamaciones, cuando corresponda y si corresponde;</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7. Representación en una Moción de Desestimación o Conversión del caso del deudor;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8. Mociones para Restablecer o Extender la Suspensión Automática;</w:t>
      </w:r>
    </w:p>
    <w:p>
      <w:pPr>
        <w:pStyle w:val="Normal"/>
        <w:widowControl w:val="false"/>
        <w:autoSpaceDE w:val="false"/>
        <w:jc w:val="both"/>
        <w:rPr/>
      </w:pPr>
      <w:r>
        <w:rPr>
          <w:rFonts w:cs="TimesNewRomanPS-BoldMT" w:ascii="Times;Times New Roman" w:hAnsi="Times;Times New Roman"/>
          <w:szCs w:val="24"/>
          <w:lang w:val="es-ES"/>
        </w:rPr>
        <w:t>9. Negociaciones con el Síndico del Capítulo 7 para ayudar a resolver problemas de activos no exentos, rotación o administración de activos</w:t>
      </w:r>
    </w:p>
    <w:p>
      <w:pPr>
        <w:pStyle w:val="Normal"/>
        <w:widowControl w:val="false"/>
        <w:autoSpaceDE w:val="false"/>
        <w:jc w:val="center"/>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III</w:t>
      </w:r>
    </w:p>
    <w:p>
      <w:pPr>
        <w:pStyle w:val="Normal"/>
        <w:widowControl w:val="false"/>
        <w:autoSpaceDE w:val="false"/>
        <w:jc w:val="center"/>
        <w:rPr>
          <w:rFonts w:ascii="Times;Times New Roman" w:hAnsi="Times;Times New Roman" w:cs="TimesNewRomanPS-BoldMT"/>
          <w:szCs w:val="24"/>
        </w:rPr>
      </w:pPr>
      <w:r>
        <w:rPr>
          <w:rFonts w:cs="TimesNewRomanPS-BoldMT" w:ascii="Times;Times New Roman" w:hAnsi="Times;Times New Roman"/>
          <w:b/>
          <w:bCs/>
          <w:szCs w:val="24"/>
          <w:lang w:val="es-ES"/>
        </w:rPr>
        <w:t xml:space="preserve">Servicios adicionales no incluidos en la tarifa inicial que requerirán un acuerdo de tarifas por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lang w:val="es-ES"/>
        </w:rPr>
        <w:t>Los siguientes servicios no están incluidos en la representación en un caso del Capítulo 7, a menos que el abogado y el deudor negocien la representación en estos asuntos posteriores a la presentación de la demanda en términos mutuamente acordados antes de cualquier obligación del abogado de prestar servicios. A menos que se negocie un nuevo acuerdo de honorarios entre el deudor y el abogado, este no estará obligado a representar al deudor en estos asuntos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 Defensa de una demanda para determinar la no exoneración de una deuda o presentación de una demanda para determinar la exoneración de una deuda;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2. Defensa de una demanda que objete la exoneración;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3. Objeciones a la solicitud de exención, excepto cuando la objeción surja debido a un error en el Anexo C;</w:t>
      </w:r>
    </w:p>
    <w:p>
      <w:pPr>
        <w:pStyle w:val="Normal"/>
        <w:widowControl w:val="false"/>
        <w:autoSpaceDE w:val="false"/>
        <w:jc w:val="both"/>
        <w:rPr/>
      </w:pPr>
      <w:r>
        <w:rPr>
          <w:rFonts w:cs="TimesNewRomanPS-BoldMT" w:ascii="Times;Times New Roman" w:hAnsi="Times;Times New Roman"/>
          <w:szCs w:val="24"/>
          <w:lang w:val="es-ES"/>
        </w:rPr>
        <w:t>4. Liberación de embargos del alguacil;</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5. Mociones de anulación de gravámenes según la Sección 522(f);</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6. Oposición a una solicitud o comparecencia ante una inspección de 2004;</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7. Todas las demás mociones o solicitudes en el caso, incluyendo la compra, venta o refinanciación de bienes inmuebles u otros bienes;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8. Mociones u otros procedimientos para hacer cumplir la suspensión automática o la orden judicial de exoneración;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9. Presentación o respuesta a una apelación;</w:t>
      </w:r>
    </w:p>
    <w:p>
      <w:pPr>
        <w:pStyle w:val="Normal"/>
        <w:widowControl w:val="false"/>
        <w:autoSpaceDE w:val="false"/>
        <w:jc w:val="both"/>
        <w:rPr/>
      </w:pPr>
      <w:r>
        <w:rPr>
          <w:rFonts w:cs="TimesNewRomanPS-BoldMT" w:ascii="Times;Times New Roman" w:hAnsi="Times;Times New Roman"/>
          <w:szCs w:val="24"/>
          <w:lang w:val="es-ES"/>
        </w:rPr>
        <w:t>10. Una auditoría del caso del deudor realizada por un auditor contratado de conformidad con el Título 28 del Código de los Estados Unidos, Sección 586(f).</w:t>
      </w:r>
    </w:p>
    <w:p>
      <w:pPr>
        <w:pStyle w:val="Normal"/>
        <w:widowControl w:val="false"/>
        <w:autoSpaceDE w:val="false"/>
        <w:jc w:val="center"/>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IV</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Deberes y responsabilidades del deudor</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Como deudor que solicita una bancarrota del Capítulo 7, usted debe:</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 Divulgar completamente todo lo que posee, arrienda o sobre lo que cree tener algún derecho o interés antes de presentar la solicitud;</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2. Enumerar a todas las personas a quienes les debe dinero, incluyendo a sus amigos, familiares o alguien a quien desee reembolsar después de declararse en bancarrota;</w:t>
      </w:r>
    </w:p>
    <w:p>
      <w:pPr>
        <w:pStyle w:val="Normal"/>
        <w:widowControl w:val="false"/>
        <w:autoSpaceDE w:val="false"/>
        <w:jc w:val="both"/>
        <w:rPr/>
      </w:pPr>
      <w:r>
        <w:rPr>
          <w:rFonts w:cs="TimesNewRomanPS-BoldMT" w:ascii="Times;Times New Roman" w:hAnsi="Times;Times New Roman"/>
          <w:szCs w:val="24"/>
          <w:lang w:val="es-ES"/>
        </w:rPr>
        <w:t>3. Proporcionar información financiera precisa y completa;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4. Proporcionar toda la información y documentación solicitada de manera oportuna, de acuerdo con las Directrices para Fideicomisarios del Capítulo 7;</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5. Cooperar y comunicarse con su abogado;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6. Discuta los objetivos del caso con su abogado antes de presentarlo;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7. Manténgalo informado sobre cualquier cambio en su información de contacto, incluyendo su correo electrónico;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8. Manténgalo informado sobre cualquier actividad de cobro de cualquier acreedor, incluyendo demandas, sentencias, embargos, gravámenes y ejecuciones sobre los bienes del deudor;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9. Mantener al abogado informado sobre cualquier cambio en los ingresos y gastos del hogar;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10. Presentar puntualmente todas las declaraciones de impuestos requeridas por ley;</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11. Informar al abogado sobre cualquier demanda pendiente o derecho a interponerla;</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12. Comparecer ante la Junta de Acreedores de la Sección 341(a) y ante cualquier Junta de Acreedores que continúe;</w:t>
      </w:r>
    </w:p>
    <w:p>
      <w:pPr>
        <w:pStyle w:val="Normal"/>
        <w:widowControl w:val="false"/>
        <w:autoSpaceDE w:val="false"/>
        <w:jc w:val="both"/>
        <w:rPr/>
      </w:pPr>
      <w:r>
        <w:rPr>
          <w:rFonts w:cs="TimesNewRomanPSMT;Times New Roman" w:ascii="Times;Times New Roman" w:hAnsi="Times;Times New Roman"/>
          <w:szCs w:val="24"/>
          <w:lang w:val="es-ES"/>
        </w:rPr>
        <w:t>13. Presentar un comprobante de número de seguro social y una identificación oficial con foto a la Junta de Acreedores de la Sección 341(a);</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14. Entregar al abogado los estados de cuenta bancarios con la fecha de presentación a más tardar 7 días después de la presentación de su caso;</w:t>
      </w:r>
    </w:p>
    <w:p>
      <w:pPr>
        <w:pStyle w:val="Normal"/>
        <w:widowControl w:val="false"/>
        <w:autoSpaceDE w:val="false"/>
        <w:rPr>
          <w:rFonts w:ascii="Times;Times New Roman" w:hAnsi="Times;Times New Roman" w:cs="TimesNewRomanPS-BoldMT"/>
          <w:szCs w:val="24"/>
          <w:lang w:val="es-ES"/>
        </w:rPr>
      </w:pPr>
      <w:r>
        <w:rPr>
          <w:rFonts w:cs="TimesNewRomanPS-BoldMT" w:ascii="Times;Times New Roman" w:hAnsi="Times;Times New Roman"/>
          <w:szCs w:val="24"/>
          <w:lang w:val="es-ES"/>
        </w:rPr>
        <w:t>15. Pagar todos los honorarios requeridos antes de la presentación del caso;</w:t>
      </w:r>
    </w:p>
    <w:p>
      <w:pPr>
        <w:pStyle w:val="Normal"/>
        <w:widowControl w:val="false"/>
        <w:autoSpaceDE w:val="false"/>
        <w:rPr>
          <w:rFonts w:ascii="Times;Times New Roman" w:hAnsi="Times;Times New Roman" w:cs="TimesNewRomanPS-BoldMT"/>
          <w:szCs w:val="24"/>
          <w:lang w:val="es-ES"/>
        </w:rPr>
      </w:pPr>
      <w:r>
        <w:rPr>
          <w:rFonts w:cs="TimesNewRomanPS-BoldMT" w:ascii="Times;Times New Roman" w:hAnsi="Times;Times New Roman"/>
          <w:szCs w:val="24"/>
          <w:lang w:val="es-ES"/>
        </w:rPr>
        <w:t>16. Pagar puntualmente todos los honorarios requeridos en caso de que se incurran en gastos posteriores a la presentación;</w:t>
      </w:r>
    </w:p>
    <w:p>
      <w:pPr>
        <w:pStyle w:val="Normal"/>
        <w:widowControl w:val="false"/>
        <w:autoSpaceDE w:val="false"/>
        <w:rPr/>
      </w:pPr>
      <w:r>
        <w:rPr>
          <w:rFonts w:cs="TimesNewRomanPS-BoldMT" w:ascii="Times;Times New Roman" w:hAnsi="Times;Times New Roman"/>
          <w:szCs w:val="24"/>
          <w:lang w:val="es-ES"/>
        </w:rPr>
        <w:t>17. El deudor no debe ordenar, obligar ni exigir a su abogado que adopte una postura legal ni que se oponga a una moción que infrinja cualquier Norma Ética, Norma de Conducta Profesional o Norma Federal que no esté bien fundamentada en los hechos o en el derecho</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Acuse de recibo de las divulgaciones</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El Cliente reconoce haber recibido copias de todos los Documentos de Divulgación adjuntos a este Contrato.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Estos documentos incluyen: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 xml:space="preserve">• </w:t>
      </w:r>
      <w:r>
        <w:rPr>
          <w:rFonts w:cs="TimesNewRomanPS-BoldMT" w:ascii="Times;Times New Roman" w:hAnsi="Times;Times New Roman"/>
          <w:szCs w:val="24"/>
          <w:lang w:val="es-ES"/>
        </w:rPr>
        <w:t>El aviso del Secretario exigido por la Sección 342(b) del Código de Quiebras y la Sección 527(a) del Código de Quiebras.</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Aviso a los consumidores deudores según el artículo 342(b) del Código de Quiebras</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szCs w:val="24"/>
          <w:lang w:val="es-ES"/>
        </w:rPr>
        <w:t>De conformidad con el §342(b) del Código de Quiebras, este aviso a personas con deudas principalmente de consumo: (1) Describe brevemente los servicios disponibles de asesoría crediticia; (2) Describe brevemente los propósitos, beneficios y costos de los cuatro tipos de procedimientos de quiebra que puede iniciar; y (3) Le informa sobre los delitos de quiebra y le notifica que el Procurador General puede examinar toda la información que usted proporcione en relación con un caso de quiebra.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Se le advierte que la ley de bancarrota es compleja y difícil de describir. Por lo tanto, le recomendamos consultar con un abogado para conocer sus derechos y responsabilidades si decide presentar una solicitud. Los empleados del tribunal no pueden brindarle asesoramiento legal. Las notificaciones del tribunal de bancarrota se envían a la dirección postal que usted indique en su solicitud de bancarrota. Para garantizar que reciba información sobre los eventos relacionados con su caso, la Regla de Bancarrota 4002 exige que notifique al tribunal cualquier cambio de dirección. Si presenta un caso conjunto (una sola solicitud de bancarrota para dos personas casadas entre sí) y cada cónyuge indica la misma dirección postal en la solicitud de bancarrota, usted y su cónyuge generalmente recibirán una sola copia de cada notificación enviada por correo del tribunal de bancarrota en un sobre con la dirección conjunta, a menos que presente una declaración ante el tribunal solicitando que cada cónyuge reciba una copia por separado de todas las notificaciones</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ind w:start="720" w:end="0"/>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t>1. Servicios disponibles en las agencias de asesoría crediticia</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b/>
          <w:bCs/>
          <w:szCs w:val="24"/>
          <w:lang w:val="es-ES"/>
        </w:rPr>
        <w:t>Con excepciones limitadas, el artículo 109(h) del Código de Quiebras exige que todos los deudores individuales que soliciten el beneficio de la bancarrota a partir del 17 de octubre de 2005 reciban una sesión informativa que describa las oportunidades disponibles de asesoría crediticia y les brinde asistencia para realizar un análisis presupuestario. Esta sesión debe brindarse dentro de los 180 días previos a la declaración de quiebra. Puede brindarse de forma individual o grupal (incluidas las sesiones telefónicas o por internet) y debe ser impartida por una agencia sin fines de lucro de asesoría presupuestaria y crediticia aprobada por el síndico o administrador concursal de los Estados Unidos. El secretario del tribunal de quiebras tiene una lista que puede consultar de las agencias de asesoría presupuestaria y crediticia aprobadas. Cada deudor en un caso conjunto debe completar la sesión informativa.</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t>Además, tras declararse en bancarrota, un deudor individual generalmente debe completar un curso de capacitación en administración financiera antes de poder recibir la condonación. El secretario también cuenta con una lista de cursos de capacitación en administración financiera aprobados. Cada deudor en un caso conjunto debe completar el curso.</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t>2. Los cuatro capítulos del Código de Quiebras disponibles para los deudores consumidores individuales</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b/>
          <w:bCs/>
          <w:szCs w:val="24"/>
          <w:lang w:val="es-ES"/>
        </w:rPr>
        <w:t>Capítulo 7: Liquidación (tarifa de presentación de $245, tarifa administrativa de $75, recargo del síndico de $18: Tarifa total de $338)</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lang w:val="es-ES"/>
        </w:rPr>
        <w:t xml:space="preserve">El Capítulo 7 está diseñado para deudores con dificultades financieras que no tienen la capacidad de pagar sus deudas existentes. Los deudores cuyas deudas son principalmente de consumo están sujetos a una "prueba de recursos" diseñada para determinar si el caso debe proceder bajo el Capítulo 7. Si sus ingresos son superiores a la mediana de ingresos para su estado de residencia y el tamaño de su familia, en algunos casos, el síndico de los Estados Unidos (o administrador de quiebras), el síndico o los acreedores tienen derecho a presentar una moción solicitando al tribunal que desestime su caso según el §707(b) del Código. </w:t>
      </w:r>
      <w:r>
        <w:rPr>
          <w:rFonts w:cs="TimesNewRomanPS-BoldMT" w:ascii="Times;Times New Roman" w:hAnsi="Times;Times New Roman"/>
          <w:b/>
          <w:bCs/>
          <w:szCs w:val="24"/>
        </w:rPr>
        <w:t>El tribunal decide si el caso debe desestimarse.</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szCs w:val="24"/>
          <w:lang w:val="es-ES"/>
        </w:rPr>
        <w:t>Bajo el capítulo 7, puede reclamar algunos de sus bienes como exentos según la ley vigente. Un fideicomisario podría tener derecho a tomar posesión y vender el resto de los bienes que no estén exentos y utilizar el producto de la venta para pagar a sus acreedores.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El propósito de presentar un caso de bancarrota bajo el Capítulo 7 es obtener la condonación de sus deudas existentes. Sin embargo, si se determina que ha cometido ciertas conductas indebidas descritas en el Código de Quiebras, el tribunal podría denegar su condonación y, de hacerlo, se invalidará el propósito por el cual presentó la solicitud de bancarrota.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Incluso si recibe una condonación general, algunas deudas específicas no se condonan legalmente. Por lo tanto, aún podría ser responsable de la mayoría de los impuestos y préstamos estudiantiles; deudas contraídas para pagar impuestos no condonables; obligaciones de manutención doméstica y liquidación de bienes; la mayoría de las multas, sanciones, decomisos y obligaciones de restitución penal; ciertas deudas que no constan correctamente en sus documentos de bancarrota; y deudas por muerte o lesiones personales causadas por conducir un vehículo motorizado, embarcación o aeronave bajo los efectos del alcohol o las drogas. Además, si un acreedor puede demostrar que una deuda surgió de fraude, incumplimiento del deber fiduciario, robo o lesión intencional y maliciosa, el tribunal de bancarrotas podría determinar que la deuda no se condona.</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t>Capítulo 13: Pago de la totalidad o parte de las deudas de una persona con ingresos regulares (tarifa de presentación de $235, tarifa administrativa de $75: tarifa total de $313)</w:t>
      </w:r>
    </w:p>
    <w:p>
      <w:pPr>
        <w:pStyle w:val="Normal"/>
        <w:widowControl w:val="false"/>
        <w:autoSpaceDE w:val="false"/>
        <w:jc w:val="both"/>
        <w:rPr/>
      </w:pPr>
      <w:r>
        <w:rPr>
          <w:rFonts w:cs="TimesNewRomanPS-BoldMT" w:ascii="Times;Times New Roman" w:hAnsi="Times;Times New Roman"/>
          <w:szCs w:val="24"/>
          <w:lang w:val="es-ES"/>
        </w:rPr>
        <w:t>El Capítulo 13 está diseñado para personas con ingresos regulares que desean pagar la totalidad o parte de sus deudas en cuotas durante un período determinado. Solo puede acogerse al Capítulo 13 si sus deudas no superan ciertas cantidades establecidas en el Código de Quiebras.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Bajo el capítulo 13, debe presentar ante el tribunal un plan para pagar a sus acreedores la totalidad o parte del dinero que les debe, utilizando sus ingresos futuros. El plazo que le concede el tribunal para pagar sus deudas puede ser de tres o cinco años, dependiendo de sus ingresos y otros factores. El tribunal debe aprobar su plan antes de que entre en vigor.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Después de completar los pagos según su plan, sus deudas generalmente se cancelan, excepto las obligaciones de manutención doméstica; la mayoría de los préstamos estudiantiles; ciertos impuestos; la mayoría de las multas penales y obligaciones de restitución; ciertas deudas que no están enumeradas correctamente en sus documentos de quiebra; ciertas deudas por actos que causaron muerte o lesiones personales; y ciertas obligaciones garantizadas a largo plazo.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Capítulo 11: Reorganización (tarifa de presentación de $1,167, tarifa administrativa de $550: Tarifa total de $1,717)</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El Capítulo 11 está diseñado para la reorganización de una empresa, pero también está disponible para deudores particulares. Sus disposiciones son bastante complejas, y cualquier decisión de presentar una solicitud de Capítulo 11 debe consultarse con un abogado.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t>Capítulo 12: Agricultor o Pescador Familiar (tarifa de presentación de $200, tarifa administrativa de $75: Tarifa total de $275)</w:t>
      </w:r>
    </w:p>
    <w:p>
      <w:pPr>
        <w:pStyle w:val="Normal"/>
        <w:widowControl w:val="false"/>
        <w:autoSpaceDE w:val="false"/>
        <w:jc w:val="both"/>
        <w:rPr/>
      </w:pPr>
      <w:r>
        <w:rPr>
          <w:rFonts w:cs="TimesNewRomanPS-BoldMT" w:ascii="Times;Times New Roman" w:hAnsi="Times;Times New Roman"/>
          <w:szCs w:val="24"/>
          <w:lang w:val="es-ES"/>
        </w:rPr>
        <w:t>El Capítulo 12 está diseñado para permitir que los agricultores y pescadores familiares paguen sus deudas durante un período con ingresos futuros y es similar al Capítulo 13. Los requisitos de elegibilidad son restrictivos, limitándolo a aquellos cuyos ingresos provienen principalmente de una explotación agrícola familiar o de una operación pesquera comercial.</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t>3. Delitos de quiebra y disponibilidad de documentos de quiebra para los funcionarios encargados de hacer cumplir la ley</w:t>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szCs w:val="24"/>
          <w:lang w:val="es-ES"/>
        </w:rPr>
        <w:t>Toda persona que, a sabiendas y fraudulentamente, oculte bienes o haga falso juramento o declaración bajo pena de perjurio, ya sea oralmente o por escrito, en relación con un caso de quiebra, estará sujeta a multa, prisión o ambas. Toda la información proporcionada por un deudor en relación con un caso de quiebra está sujeta a examen por parte del Fiscal General, a través de la Oficina del Síndico de los Estados Unidos, la Fiscalía de los Estados Unidos y otros componentes y empleados del Departamento de Justicia.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ADVERTENCIA: La Sección 521(a)(1) del Código de Quiebras exige que presente con prontitud información detallada sobre sus acreedores, activos, pasivos, ingresos, gastos y situación financiera general. Su caso de quiebra podría ser desestimado si no presenta esta información ante el tribunal dentro de los plazos establecidos por el Código de Quiebras, el Reglamento de Quiebras y las normas locales del tribunal. Los documentos y las fechas límite para presentarlos se detallan en el Formulario B200, disponible en http://www.uscourts.gov/bkforms/bankruptcy_forms.html#procedure.</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w:t>
      </w:r>
      <w:r>
        <w:rPr>
          <w:rFonts w:cs="TimesNewRomanPS-BoldMT" w:ascii="Times;Times New Roman" w:hAnsi="Times;Times New Roman"/>
          <w:szCs w:val="24"/>
          <w:lang w:val="es-ES"/>
        </w:rPr>
        <w:t>Información importante sobre los servicios de asistencia en casos de quiebra de un abogado o preparador de peticiones de quiebra”, según lo exige el artículo 527(b) del Código de Quiebras.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 “</w:t>
      </w:r>
      <w:r>
        <w:rPr>
          <w:rFonts w:cs="TimesNewRomanPS-BoldMT" w:ascii="Times;Times New Roman" w:hAnsi="Times;Times New Roman"/>
          <w:szCs w:val="24"/>
          <w:lang w:val="es-ES"/>
        </w:rPr>
        <w:t>Aviso que debe proporcionarse de conformidad con el artículo 527(c) del Código de Quiebras”.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 “</w:t>
      </w:r>
      <w:r>
        <w:rPr>
          <w:rFonts w:cs="TimesNewRomanPS-BoldMT" w:ascii="Times;Times New Roman" w:hAnsi="Times;Times New Roman"/>
          <w:szCs w:val="24"/>
          <w:lang w:val="es-ES"/>
        </w:rPr>
        <w:t>Aviso que debe proporcionarse de conformidad con el artículo 527(a) del Código de Quiebras”.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EL CÓDIGO DE QUIEBRAS NOS EXIGE A INFORMARLE EXPLÍCITA Y VISTAMENTE QUE:</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pPr>
      <w:r>
        <w:rPr>
          <w:rFonts w:cs="TimesNewRomanPS-BoldMT" w:ascii="Times;Times New Roman" w:hAnsi="Times;Times New Roman"/>
          <w:b/>
          <w:bCs/>
          <w:szCs w:val="24"/>
          <w:lang w:val="es-ES"/>
        </w:rPr>
        <w:t>“</w:t>
      </w:r>
      <w:r>
        <w:rPr>
          <w:rFonts w:cs="TimesNewRomanPS-BoldMT" w:ascii="Times;Times New Roman" w:hAnsi="Times;Times New Roman"/>
          <w:b/>
          <w:bCs/>
          <w:szCs w:val="24"/>
          <w:lang w:val="es-ES"/>
        </w:rPr>
        <w:t>SOMOS UNA AGENCIA DE ALIVIO DE DEUDAS. AYUDAMOS A LAS PERSONAS A SOLICITAR LA ALIVIO DE LA QUIEBRA BAJO EL CÓDIGO DE QUIEBRAS”.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bCs/>
          <w:szCs w:val="24"/>
          <w:lang w:val="es-ES"/>
        </w:rPr>
      </w:pPr>
      <w:r>
        <w:rPr>
          <w:rFonts w:cs="Times-Roman;Times New Roman" w:ascii="Times-Roman;Times New Roman" w:hAnsi="Times-Roman;Times New Roman"/>
          <w:b/>
          <w:bCs/>
          <w:szCs w:val="24"/>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Bufete de abogados del/de los </w:t>
        <w:tab/>
        <w:tab/>
        <w:t>Cliente(s)</w:t>
        <w:tab/>
        <w:tab/>
        <w:tab/>
        <w:tab/>
        <w:t>Cliente(s)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Andrew H. Griffin, III, APC</w:t>
        <w:tab/>
        <w:tab/>
        <w:tab/>
        <w:t xml:space="preserve"> “Persona(s) asistida(s)” </w:t>
        <w:tab/>
        <w:t>“Persona(s) asistida(s)”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 w:ascii="Times;Times New Roman" w:hAnsi="Times;Times New Roman"/>
          <w:b/>
          <w:bCs/>
          <w:szCs w:val="24"/>
        </w:rPr>
        <w:t>“</w:t>
      </w:r>
      <w:r>
        <w:rPr>
          <w:rFonts w:cs="TimesNewRomanPS-BoldMT"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Andrew H. Griffin, III, Attorney    </w:t>
        <w:tab/>
      </w:r>
      <w:r>
        <w:rPr>
          <w:rFonts w:cs="TimesNewRomanPS-BoldMT" w:ascii="Times;Times New Roman" w:hAnsi="Times;Times New Roman"/>
          <w:b/>
          <w:bCs/>
          <w:szCs w:val="24"/>
        </w:rPr>
        <w:t xml:space="preserve">Debtor                 </w:t>
        <w:tab/>
        <w:tab/>
        <w:t>Co-Debtor</w:t>
      </w:r>
      <w:r>
        <w:rPr>
          <w:rFonts w:cs="Times-Roman;Times New Roman" w:ascii="Times-Roman;Times New Roman" w:hAnsi="Times-Roman;Times New Roman"/>
        </w:rPr>
        <w:tab/>
        <w:tab/>
        <w:tab/>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lang w:val="es-ES"/>
        </w:rPr>
        <w:t>Aviso a clientes que consideran declararse en quiebra: Aviso requerido según la Sección 527(b)(2)</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El propósito de este Aviso y la Declaración exigida por la Sección 527(b) del Código de Quiebras, que se le ha proporcionado como documento separado, es informarle sobre algunas de sus obligaciones en caso de declararse en quiebra.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Se le notifica lo siguiente:</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1. Toda la información que debe proporcionar con su solicitud de quiebra y posteriormente en su caso debe ser completa, precisa y veraz.</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2. Todos sus activos y pasivos deben estar descritos de forma completa y precisa en los documentos presentados para iniciar su caso.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ind w:start="360" w:end="0"/>
        <w:jc w:val="both"/>
        <w:rPr/>
      </w:pPr>
      <w:r>
        <w:rPr>
          <w:rFonts w:cs="TimesNewRomanPS-BoldMT" w:ascii="Times;Times New Roman" w:hAnsi="Times;Times New Roman"/>
          <w:szCs w:val="24"/>
          <w:lang w:val="es-ES"/>
        </w:rPr>
        <w:t>3. El valor de cada activo, garantizado por un gravamen sobre dicho activo, debe indicarse como su valor de reposición tras realizar una investigación razonable para determinarlo. El valor de reposición se refiere al valor de reposición vigente en la fecha de presentación de la solicitud de quiebra, sin deducir los costos de venta o comercialización. En el caso de bienes adquiridos para fines personales, familiares o domésticos, el valor de reposición se refiere al precio que un comerciante minorista cobraría por un bien de ese tipo, considerando su antigüedad y estado al momento de determinar el valor.</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4. Tras una consulta razonable, deberá indicar sus ingresos mensuales actuales. Estos ingresos mensuales se describen en el Anexo de Términos y Definiciones adjunto.</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both"/>
        <w:rPr/>
      </w:pPr>
      <w:r>
        <w:rPr>
          <w:rFonts w:cs="TimesNewRomanPSMT;Times New Roman" w:ascii="Times;Times New Roman" w:hAnsi="Times;Times New Roman"/>
          <w:szCs w:val="24"/>
          <w:lang w:val="es-ES"/>
        </w:rPr>
        <w:t>5. Tras una consulta razonable, deberá indicar los montos establecidos en el Artículo 707(b)(2) del Código de Quiebras. Dichos montos se explican en el Anexo de Términos y Definiciones adjunto.</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6. En un caso bajo el Capítulo 13, tras una investigación razonable, deberá declarar sus ingresos disponibles, determinados de conformidad con la Sección 1325(b)(2) del Código de Quiebras. Los ingresos disponibles se explican en el apéndice adjunto de Términos y Definiciones.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7. La información que proporcione durante su caso podrá ser auditada de conformidad con las disposiciones del Código de Quiebras. Si no proporciona información, podrá ser desestimado su caso o recibir otras sanciones, incluidas las penales.</w:t>
      </w:r>
    </w:p>
    <w:p>
      <w:pPr>
        <w:pStyle w:val="Normal"/>
        <w:widowControl w:val="false"/>
        <w:autoSpaceDE w:val="false"/>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Apéndice de términos y definiciones</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Ingresos mensuales actuales</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Montos establecidos de conformidad con las secciones 707(b)</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Ingresos disponibles</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t>Instrucciones para proporcionar la información requerida por la ley de quiebras</w:t>
      </w:r>
    </w:p>
    <w:p>
      <w:pPr>
        <w:pStyle w:val="Normal"/>
        <w:widowControl w:val="false"/>
        <w:autoSpaceDE w:val="false"/>
        <w:jc w:val="center"/>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rFonts w:ascii="Times;Times New Roman" w:hAnsi="Times;Times New Roman" w:cs="TimesNewRomanPS-BoldMT"/>
          <w:b/>
          <w:i/>
          <w:szCs w:val="24"/>
          <w:u w:val="single"/>
        </w:rPr>
      </w:pPr>
      <w:r>
        <w:rPr>
          <w:rFonts w:cs="TimesNewRomanPS-BoldMT" w:ascii="Times;Times New Roman" w:hAnsi="Times;Times New Roman"/>
          <w:bCs/>
          <w:iCs/>
          <w:szCs w:val="24"/>
          <w:lang w:val="es-ES"/>
        </w:rPr>
        <w:t>Al declararse en bancarrota, debe proporcionar cierta información al tribunal. Es nuestra obligación indagar diligentemente sobre usted para obtener la información que se incluirá en su solicitud de bancarrota. Adjunto encontrará formularios diseñados para obtener la información necesaria. Lea y siga atentamente estas instrucciones.</w:t>
      </w:r>
      <w:r>
        <w:rPr>
          <w:rFonts w:cs="TimesNewRomanPS-BoldMT" w:ascii="Times;Times New Roman" w:hAnsi="Times;Times New Roman"/>
          <w:b/>
          <w:i/>
          <w:szCs w:val="24"/>
          <w:u w:val="single"/>
          <w:lang w:val="es-ES"/>
        </w:rPr>
        <w:t xml:space="preserve"> </w:t>
      </w:r>
      <w:r>
        <w:rPr>
          <w:rFonts w:cs="TimesNewRomanPS-BoldMT" w:ascii="Times;Times New Roman" w:hAnsi="Times;Times New Roman"/>
          <w:b/>
          <w:i/>
          <w:szCs w:val="24"/>
          <w:u w:val="single"/>
        </w:rPr>
        <w:t>Escriba sus iniciales junto a cada instrucción.</w:t>
      </w:r>
    </w:p>
    <w:p>
      <w:pPr>
        <w:pStyle w:val="Normal"/>
        <w:widowControl w:val="false"/>
        <w:autoSpaceDE w:val="false"/>
        <w:jc w:val="both"/>
        <w:rPr>
          <w:rFonts w:ascii="Times;Times New Roman" w:hAnsi="Times;Times New Roman" w:cs="TimesNewRomanPS-BoldMT"/>
          <w:b/>
          <w:i/>
          <w:szCs w:val="24"/>
          <w:u w:val="single"/>
        </w:rPr>
      </w:pPr>
      <w:r>
        <w:rPr>
          <w:rFonts w:cs="TimesNewRomanPS-BoldMT" w:ascii="Times;Times New Roman" w:hAnsi="Times;Times New Roman"/>
          <w:b/>
          <w:i/>
          <w:szCs w:val="24"/>
          <w:u w:val="single"/>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_____ 1. LEA Y LLENE LOS FORMULARIOS COMPLETAMENTE, CON PRECISIÓN Y ORDEN.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_____ 2. NO DEJE NINGÚN ESPACIO EN BLANCO. Si algún espacio en blanco no le corresponde, escriba "N/A". Así sabremos que no lo olvidó por error.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_____ 3. Enumere TODOS sus bienes.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4. Enumere todas sus deudas.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lang w:val="es-ES"/>
        </w:rPr>
        <w:t>a) Debe enumerar las deudas que no se cancelarán, como préstamos estudiantiles y manutención infantil.</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b) Debe enumerar las deudas que tiene intención de pagar.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c) Debe enumerar las deudas que usted avaló en nombre de otra persona o que otra persona avaló en su nombre.</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d) Debe enumerar las deudas con familiares.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5. Adjunte hojas adicionales si no tiene suficiente espacio para incluir toda la información.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6. Para determinar la cantidad que debe a cada acreedor, indique el monto en su estado de cuenta más reciente o en la correspondencia del acreedor. En casos excepcionales, su posibilidad de declararse en bancarrota (Capítulo 7) puede depender de su deuda. En esos casos, le ayudaremos a determinar la cantidad que debe a cada acreedor.</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7. Si un acreedor continúa comunicándose con usted, utilice la dirección que le proporcionó en al menos dos comunicaciones durante los últimos noventa (90) días. No utilice la dirección a la que envía pagos. Utilice la dirección de correspondencia. Conserve toda la correspondencia de su acreedor para que podamos estar al tanto de cualquier cambio en sus direcciones y comprobar, si es necesario, que utilizamos las direcciones correctas.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8. Enumere el número de cuenta, si lo hay, para cada deuda.</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b/>
          <w:bCs/>
          <w:szCs w:val="24"/>
          <w:lang w:val="es-ES"/>
        </w:rPr>
      </w:pPr>
      <w:r>
        <w:rPr>
          <w:rFonts w:cs="TimesNewRomanPS-BoldMT" w:ascii="Times;Times New Roman" w:hAnsi="Times;Times New Roman"/>
          <w:b/>
          <w:bCs/>
          <w:szCs w:val="24"/>
          <w:lang w:val="es-ES"/>
        </w:rPr>
      </w:r>
    </w:p>
    <w:p>
      <w:pPr>
        <w:pStyle w:val="Normal"/>
        <w:widowControl w:val="false"/>
        <w:autoSpaceDE w:val="false"/>
        <w:jc w:val="both"/>
        <w:rPr/>
      </w:pPr>
      <w:r>
        <w:rPr>
          <w:rFonts w:cs="TimesNewRomanPS-BoldMT" w:ascii="Times;Times New Roman" w:hAnsi="Times;Times New Roman"/>
          <w:b/>
          <w:bCs/>
          <w:szCs w:val="24"/>
          <w:lang w:val="es-ES"/>
        </w:rPr>
        <w:t>Requisito de Asesoría de Deuda.</w:t>
      </w:r>
      <w:r>
        <w:rPr>
          <w:rFonts w:cs="TimesNewRomanPS-BoldMT" w:ascii="Times;Times New Roman" w:hAnsi="Times;Times New Roman"/>
          <w:szCs w:val="24"/>
          <w:lang w:val="es-ES"/>
        </w:rPr>
        <w:t xml:space="preserve"> No es elegible para declararse en bancarrota a menos que reciba una sesión informativa individual o grupal de una agencia de asesoría y presupuesto sin fines de lucro aprobada. Dicha sesión debe describir sus oportunidades de asesoría crediticia y ayudarle a realizar un análisis presupuestario relacionado. Debe realizarse dentro de los ciento ochenta (180) días previos a la declaración de bancarrota. Puede realizarse por internet o por teléfono. Si aún no ha recibido la asesoría y desea nuestra asistencia, le ayudaremos a gestionarla. Además de la información contenida en estos formularios, debe presentar los siguientes documentos informativos junto con su solicitud o, cuando se especifique, mientras su caso esté pendiente.</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ListParagrap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ListParagraph"/>
        <w:rPr/>
      </w:pPr>
      <w:r>
        <w:rPr>
          <w:rFonts w:cs="TimesNewRomanPSMT;Times New Roman" w:ascii="Times;Times New Roman" w:hAnsi="Times;Times New Roman"/>
          <w:szCs w:val="24"/>
          <w:lang w:val="es-ES"/>
        </w:rPr>
        <w:t>1. Copias de todos los recibos de sueldo, anticipos de pago u otra constancia de pago recibida dentro de los sesenta (60) días anteriores a la fecha de presentación de la solicitud por su parte, de cualquier empleador.</w:t>
      </w:r>
    </w:p>
    <w:p>
      <w:pPr>
        <w:pStyle w:val="ListParagrap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ListParagrap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2. Una declaración del monto de sus ingresos netos mensuales, desglosada para mostrar cómo se calcula.</w:t>
      </w:r>
    </w:p>
    <w:p>
      <w:pPr>
        <w:pStyle w:val="Normal"/>
        <w:widowControl w:val="false"/>
        <w:autoSpaceDE w:val="false"/>
        <w:ind w:firstLine="720" w:end="0"/>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ind w:firstLine="720" w:end="0"/>
        <w:jc w:val="both"/>
        <w:rPr>
          <w:rFonts w:ascii="Times;Times New Roman" w:hAnsi="Times;Times New Roman" w:cs="TimesNewRomanPS-BoldMT"/>
          <w:szCs w:val="24"/>
          <w:lang w:val="es-ES"/>
        </w:rPr>
      </w:pPr>
      <w:r>
        <w:rPr>
          <w:rFonts w:cs="TimesNewRomanPS-BoldMT" w:ascii="Times;Times New Roman" w:hAnsi="Times;Times New Roman"/>
          <w:szCs w:val="24"/>
          <w:lang w:val="es-ES"/>
        </w:rPr>
        <w:t xml:space="preserve">3. Una declaración que revele cualquier aumento razonablemente previsto en los ingresos o gastos durante el período de doce (12) meses siguiente a la fecha de presentación de la petición. </w:t>
      </w:r>
    </w:p>
    <w:p>
      <w:pPr>
        <w:pStyle w:val="Normal"/>
        <w:widowControl w:val="false"/>
        <w:autoSpaceDE w:val="false"/>
        <w:ind w:firstLine="720" w:end="0"/>
        <w:jc w:val="both"/>
        <w:rPr/>
      </w:pPr>
      <w:r>
        <w:rPr>
          <w:rFonts w:cs="TimesNewRomanPS-BoldMT" w:ascii="Times;Times New Roman" w:hAnsi="Times;Times New Roman"/>
          <w:szCs w:val="24"/>
          <w:lang w:val="es-ES"/>
        </w:rPr>
        <w:t>4. a. Un certificado de una agencia de asesoría crediticia y presupuestaria sin fines de lucro autorizada que describa la sesión informativa individual o grupal que recibió.</w:t>
      </w:r>
    </w:p>
    <w:p>
      <w:pPr>
        <w:pStyle w:val="Normal"/>
        <w:widowControl w:val="false"/>
        <w:autoSpaceDE w:val="false"/>
        <w:ind w:firstLine="720" w:end="0"/>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ind w:firstLine="720" w:end="0"/>
        <w:jc w:val="both"/>
        <w:rPr>
          <w:rFonts w:ascii="Times;Times New Roman" w:hAnsi="Times;Times New Roman" w:cs="TimesNewRomanPS-BoldMT"/>
          <w:szCs w:val="24"/>
          <w:lang w:val="es-ES"/>
        </w:rPr>
      </w:pPr>
      <w:r>
        <w:rPr>
          <w:rFonts w:cs="TimesNewRomanPS-BoldMT" w:ascii="Times;Times New Roman" w:hAnsi="Times;Times New Roman"/>
          <w:szCs w:val="24"/>
          <w:lang w:val="es-ES"/>
        </w:rPr>
        <w:t>b. Si desarrolló un plan de pago de deudas como resultado de la sesión informativa, una copia del plan.</w:t>
      </w:r>
    </w:p>
    <w:p>
      <w:pPr>
        <w:pStyle w:val="Normal"/>
        <w:widowControl w:val="false"/>
        <w:autoSpaceDE w:val="false"/>
        <w:ind w:firstLine="720" w:end="0"/>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ListParagrap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ind w:start="720" w:end="0"/>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5. Un registro de cualquier interés que tenga en una cuenta individual de jubilación educativa o en un programa de matrícula estatal calificado.</w:t>
      </w:r>
    </w:p>
    <w:p>
      <w:pPr>
        <w:pStyle w:val="Normal"/>
        <w:widowControl w:val="false"/>
        <w:autoSpaceDE w:val="false"/>
        <w:ind w:start="720" w:end="0"/>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ind w:start="720" w:end="0"/>
        <w:jc w:val="both"/>
        <w:rPr/>
      </w:pPr>
      <w:r>
        <w:rPr>
          <w:rFonts w:cs="TimesNewRomanPSMT;Times New Roman" w:ascii="Times;Times New Roman" w:hAnsi="Times;Times New Roman"/>
          <w:szCs w:val="24"/>
          <w:lang w:val="es-ES"/>
        </w:rPr>
        <w:t>6. Una copia de su declaración de impuestos federales sobre la renta, o una transcripción de la misma, correspondiente al año más reciente que finalizó inmediatamente antes de que presentemos su caso y para el cual presentó la declaración</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MT;Times New Roman" w:ascii="Times;Times New Roman" w:hAnsi="Times;Times New Roman"/>
          <w:szCs w:val="24"/>
          <w:lang w:val="es-ES"/>
        </w:rPr>
        <w:t xml:space="preserve">           </w:t>
      </w:r>
      <w:r>
        <w:rPr>
          <w:rFonts w:cs="TimesNewRomanPSMT;Times New Roman" w:ascii="Times;Times New Roman" w:hAnsi="Times;Times New Roman"/>
          <w:szCs w:val="24"/>
          <w:lang w:val="es-ES"/>
        </w:rPr>
        <w:t>7. Si el Tribunal, el Síndico de los Estados Unidos o cualquier otra parte en su caso lo solicita,      deberá presentar ante el tribunal:</w:t>
      </w:r>
    </w:p>
    <w:p>
      <w:pPr>
        <w:pStyle w:val="Normal"/>
        <w:widowControl w:val="false"/>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a. Una copia de cada declaración federal de impuestos sobre la renta, o su transcripción, requerida para cada año mientras su caso esté pendiente y presentada simultáneamente ante el IRS.</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pPr>
      <w:r>
        <w:rPr>
          <w:rFonts w:cs="TimesNewRomanPS-BoldMT" w:ascii="Times;Times New Roman" w:hAnsi="Times;Times New Roman"/>
          <w:szCs w:val="24"/>
          <w:lang w:val="es-ES"/>
        </w:rPr>
        <w:t>b. Una copia de cada declaración federal de impuestos sobre la renta requerida que no se haya presentado ante el IRS al momento de la presentación de su caso y que presente posteriormente para cualquier año fiscal de los tres (3) años anteriores a la fecha de presentación de su caso.</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t>c. Una copia de cada enmienda a cualquier declaración federal de impuestos sobre la renta o una transcripción de cada enmienda presentada ante el tribunal de conformidad con los párrafos (a) y (b).</w:t>
      </w:r>
    </w:p>
    <w:p>
      <w:pPr>
        <w:pStyle w:val="Normal"/>
        <w:widowControl w:val="false"/>
        <w:autoSpaceDE w:val="false"/>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Normal"/>
        <w:widowControl w:val="false"/>
        <w:numPr>
          <w:ilvl w:val="0"/>
          <w:numId w:val="2"/>
        </w:numPr>
        <w:autoSpaceDE w:val="false"/>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t>a. En un caso del Capítulo 13, en ciertos intervalos, deberá proporcionar una declaración, bajo pena de pago, de sus ingresos y gastos durante el año fiscal anterior, y de sus ingresos mensuales. La declaración debe mostrar cómo se calculan los ingresos, los gastos y los ingresos mensuales.</w:t>
      </w:r>
    </w:p>
    <w:p>
      <w:pPr>
        <w:pStyle w:val="Normal"/>
        <w:widowControl w:val="false"/>
        <w:autoSpaceDE w:val="false"/>
        <w:ind w:start="720" w:end="0"/>
        <w:jc w:val="both"/>
        <w:rPr>
          <w:rFonts w:ascii="Times;Times New Roman" w:hAnsi="Times;Times New Roman" w:cs="TimesNewRomanPSMT;Times New Roman"/>
          <w:szCs w:val="24"/>
          <w:lang w:val="es-ES"/>
        </w:rPr>
      </w:pPr>
      <w:r>
        <w:rPr>
          <w:rFonts w:cs="TimesNewRomanPSMT;Times New Roman" w:ascii="Times;Times New Roman" w:hAnsi="Times;Times New Roman"/>
          <w:szCs w:val="24"/>
          <w:lang w:val="es-ES"/>
        </w:rPr>
      </w:r>
    </w:p>
    <w:p>
      <w:pPr>
        <w:pStyle w:val="Normal"/>
        <w:widowControl w:val="false"/>
        <w:autoSpaceDE w:val="false"/>
        <w:ind w:firstLine="720" w:end="0"/>
        <w:jc w:val="both"/>
        <w:rPr>
          <w:rFonts w:ascii="Times;Times New Roman" w:hAnsi="Times;Times New Roman" w:cs="TimesNewRomanPS-BoldMT"/>
          <w:szCs w:val="24"/>
          <w:lang w:val="es-ES"/>
        </w:rPr>
      </w:pPr>
      <w:r>
        <w:rPr>
          <w:rFonts w:cs="TimesNewRomanPS-BoldMT" w:ascii="Times;Times New Roman" w:hAnsi="Times;Times New Roman"/>
          <w:szCs w:val="24"/>
          <w:lang w:val="es-ES"/>
        </w:rPr>
        <w:t>b. La declaración anterior debe revelar el monto y los servicios de sus ingresos, la identidad de cualquier persona responsable junto con usted del sustento de sus dependientes y la identidad de cualquier persona que contribuya al hogar en el que reside.</w:t>
      </w:r>
    </w:p>
    <w:p>
      <w:pPr>
        <w:pStyle w:val="Normal"/>
        <w:widowControl w:val="false"/>
        <w:autoSpaceDE w:val="false"/>
        <w:ind w:firstLine="720" w:end="0"/>
        <w:jc w:val="both"/>
        <w:rPr>
          <w:rFonts w:ascii="Times;Times New Roman" w:hAnsi="Times;Times New Roman" w:cs="TimesNewRomanPS-BoldMT"/>
          <w:szCs w:val="24"/>
          <w:lang w:val="es-ES"/>
        </w:rPr>
      </w:pPr>
      <w:r>
        <w:rPr>
          <w:rFonts w:cs="TimesNewRomanPS-BoldMT" w:ascii="Times;Times New Roman" w:hAnsi="Times;Times New Roman"/>
          <w:szCs w:val="24"/>
          <w:lang w:val="es-ES"/>
        </w:rPr>
      </w:r>
    </w:p>
    <w:p>
      <w:pPr>
        <w:pStyle w:val="Default"/>
        <w:jc w:val="both"/>
        <w:rPr>
          <w:rFonts w:ascii="Times;Times New Roman" w:hAnsi="Times;Times New Roman" w:cs="Times;Times New Roman"/>
          <w:b/>
          <w:bCs/>
          <w:szCs w:val="24"/>
          <w:lang w:val="es-ES"/>
        </w:rPr>
      </w:pPr>
      <w:r>
        <w:rPr>
          <w:rFonts w:cs="Times;Times New Roman" w:ascii="Times;Times New Roman" w:hAnsi="Times;Times New Roman"/>
          <w:b/>
          <w:bCs/>
          <w:szCs w:val="24"/>
          <w:lang w:val="es-ES"/>
        </w:rPr>
      </w:r>
    </w:p>
    <w:p>
      <w:pPr>
        <w:pStyle w:val="Default"/>
        <w:numPr>
          <w:ilvl w:val="0"/>
          <w:numId w:val="2"/>
        </w:numPr>
        <w:jc w:val="both"/>
        <w:rPr>
          <w:rFonts w:ascii="Times;Times New Roman" w:hAnsi="Times;Times New Roman" w:cs="Times;Times New Roman"/>
          <w:lang w:val="es-ES"/>
        </w:rPr>
      </w:pPr>
      <w:r>
        <w:rPr>
          <w:rFonts w:cs="Times;Times New Roman" w:ascii="Times;Times New Roman" w:hAnsi="Times;Times New Roman"/>
          <w:lang w:val="es-ES"/>
        </w:rPr>
        <w:t>Un documento que acredite su identidad, incluyendo una licencia de conducir, pasaporte u otro documento que contenga su fotografía, o cualquier otra identificación personal que acredite su identidad.</w:t>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r>
    </w:p>
    <w:p>
      <w:pPr>
        <w:pStyle w:val="Default"/>
        <w:jc w:val="both"/>
        <w:rPr>
          <w:rFonts w:ascii="Times;Times New Roman" w:hAnsi="Times;Times New Roman" w:cs="Times;Times New Roman"/>
          <w:b/>
          <w:bCs/>
          <w:lang w:val="es-ES"/>
        </w:rPr>
      </w:pPr>
      <w:r>
        <w:rPr>
          <w:rFonts w:cs="Times;Times New Roman" w:ascii="Times;Times New Roman" w:hAnsi="Times;Times New Roman"/>
          <w:b/>
          <w:bCs/>
          <w:lang w:val="es-ES"/>
        </w:rPr>
        <w:t>LAS PARTES HAN LEÍDO Y ENTENDIDO LOS TÉRMINOS ANTERIORES Y LOS ACEPTAN A PARTIR DE LA FECHA EN QUE EL ABOGADO PRESTÓ SUS SERVICIOS POR PRIMERA VEZ. SI MÁS DE UN CLIENTE FIRMA A CONTINUACIÓN, CADA UNO ACEPTA SER RESPONSABLE, CONJUNTA Y SOLIDARIAMENTE, DE TODAS LAS OBLIGACIONES CONFORME A ESTE ACUERDO. EL CLIENTE RECIBIRÁ UNA COPIA COMPLETAMENTE EJECUTADA DE ESTE ACUERDO.</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bCs/>
          <w:lang w:val="es-ES"/>
        </w:rPr>
      </w:pPr>
      <w:r>
        <w:rPr>
          <w:rFonts w:cs="Times-Roman;Times New Roman" w:ascii="Times-Roman;Times New Roman" w:hAnsi="Times-Roman;Times New Roman"/>
          <w:b/>
          <w:bCs/>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lang w:val="es-ES"/>
        </w:rPr>
        <w:t xml:space="preserve">FECHA: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Deudor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 xml:space="preserve">Dirección: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Teléfono: ________________________ Correo electrónico: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 xml:space="preserve">FECHA: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Codeudor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 xml:space="preserve">Dirección: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t>Teléfono: ________________________ Correo electrónico: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lang w:val="es-ES"/>
        </w:rPr>
      </w:pPr>
      <w:r>
        <w:rPr>
          <w:rFonts w:cs="Times;Times New Roman" w:ascii="Times;Times New Roman" w:hAnsi="Times;Times New Roman"/>
          <w:lang w:val="es-E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FECHA: 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lang w:val="es-ES"/>
        </w:rPr>
      </w:pPr>
      <w:r>
        <w:rPr>
          <w:rFonts w:cs="Times;Times New Roman" w:ascii="Times;Times New Roman" w:hAnsi="Times;Times New Roman"/>
          <w:lang w:val="es-ES"/>
        </w:rPr>
        <w:t>Anticipo pagado: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lang w:val="es-ES"/>
        </w:rPr>
      </w:pPr>
      <w:r>
        <w:rPr>
          <w:rFonts w:cs="Times;Times New Roman" w:ascii="Times;Times New Roman" w:hAnsi="Times;Times New Roman"/>
          <w:lang w:val="es-ES"/>
        </w:rPr>
        <w:t>TODOS LOS CHEQUES DEVUELTOS POR EL BANCO ESTÁN SUJETOS A UN CARGO POR SERVICIO DE $55.00</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lang w:val="es-ES"/>
        </w:rPr>
      </w:pPr>
      <w:r>
        <w:rPr>
          <w:rFonts w:cs="Times;Times New Roman" w:ascii="Times;Times New Roman" w:hAnsi="Times;Times New Roman"/>
          <w:lang w:val="es-ES"/>
        </w:rPr>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11</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2z0">
    <w:name w:val="WW8Num2z0"/>
    <w:qFormat/>
    <w:rPr/>
  </w:style>
  <w:style w:type="character" w:styleId="WW8Num5z0">
    <w:name w:val="WW8Num5z0"/>
    <w:qFormat/>
    <w:rPr/>
  </w:style>
  <w:style w:type="character" w:styleId="WW8Num8z0">
    <w:name w:val="WW8Num8z0"/>
    <w:qFormat/>
    <w:rPr/>
  </w:style>
  <w:style w:type="character" w:styleId="WW8Num9z0">
    <w:name w:val="WW8Num9z0"/>
    <w:qFormat/>
    <w:rPr>
      <w:b/>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2025-08-09T13:01:00Z</dcterms:created>
  <dc:creator>Andrew H. Griffin,III</dc:creator>
  <dc:description/>
  <cp:keywords/>
  <dc:language>en-US</dc:language>
  <cp:lastModifiedBy>Andrew Griffin</cp:lastModifiedBy>
  <cp:lastPrinted>2025-07-26T10:32:00Z</cp:lastPrinted>
  <dcterms:modified xsi:type="dcterms:W3CDTF">2025-08-09T13:01:00Z</dcterms:modified>
  <cp:revision>2</cp:revision>
  <dc:subject/>
  <dc:title>Law Offices of</dc:title>
</cp:coreProperties>
</file>