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140A4A">
      <w:pPr>
        <w:pStyle w:val="5"/>
        <w:keepNext w:val="0"/>
        <w:keepLines w:val="0"/>
        <w:widowControl/>
        <w:suppressLineNumbers w:val="0"/>
        <w:shd w:val="clear" w:fill="FFFFFF"/>
        <w:ind w:left="0" w:firstLine="0"/>
        <w:rPr>
          <w:rFonts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结合你们的暑期数创时间规划（第一周：数据治理与 Table 1 描述性统计），仿照去年获奖报告的高标准学术规范，我为你们设计并撰写了这份 </w:t>
      </w:r>
      <w:r>
        <w:rPr>
          <w:rStyle w:val="8"/>
          <w:rFonts w:hint="default" w:ascii="Arial" w:hAnsi="Arial" w:cs="Arial"/>
          <w:i w:val="0"/>
          <w:iCs w:val="0"/>
          <w:caps w:val="0"/>
          <w:color w:val="222222"/>
          <w:spacing w:val="0"/>
          <w:sz w:val="24"/>
          <w:szCs w:val="24"/>
          <w:shd w:val="clear" w:fill="FFFFFF"/>
        </w:rPr>
        <w:t>急性肾损伤（AKI）临床风险预测研究的“基线特征与描述性统计表（Table 1）”</w:t>
      </w:r>
      <w:r>
        <w:rPr>
          <w:rFonts w:hint="default" w:ascii="Arial" w:hAnsi="Arial" w:cs="Arial"/>
          <w:i w:val="0"/>
          <w:iCs w:val="0"/>
          <w:caps w:val="0"/>
          <w:color w:val="222222"/>
          <w:spacing w:val="0"/>
          <w:sz w:val="24"/>
          <w:szCs w:val="24"/>
          <w:shd w:val="clear" w:fill="FFFFFF"/>
        </w:rPr>
        <w:t> 模块。</w:t>
      </w:r>
    </w:p>
    <w:p w14:paraId="1C2633CF">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在医学论文中，Table 1 是整篇文章的基石。为了体现数据科学的严谨性，连续型变量如果符合正态分布，应使用 </w:t>
      </w:r>
      <w:r>
        <w:rPr>
          <w:rStyle w:val="8"/>
          <w:rFonts w:hint="default" w:ascii="Arial" w:hAnsi="Arial" w:cs="Arial"/>
          <w:i w:val="0"/>
          <w:iCs w:val="0"/>
          <w:caps w:val="0"/>
          <w:color w:val="222222"/>
          <w:spacing w:val="0"/>
          <w:sz w:val="24"/>
          <w:szCs w:val="24"/>
          <w:shd w:val="clear" w:fill="FFFFFF"/>
        </w:rPr>
        <w:t>均值 \pm 标准差（\bar{x} \pm s）</w:t>
      </w:r>
      <w:r>
        <w:rPr>
          <w:rFonts w:hint="default" w:ascii="Arial" w:hAnsi="Arial" w:cs="Arial"/>
          <w:i w:val="0"/>
          <w:iCs w:val="0"/>
          <w:caps w:val="0"/>
          <w:color w:val="222222"/>
          <w:spacing w:val="0"/>
          <w:sz w:val="24"/>
          <w:szCs w:val="24"/>
          <w:shd w:val="clear" w:fill="FFFFFF"/>
        </w:rPr>
        <w:t> 表示；若属于偏态分布（如住院时间、大部分实验室指标），则必须使用 </w:t>
      </w:r>
      <w:r>
        <w:rPr>
          <w:rStyle w:val="8"/>
          <w:rFonts w:hint="default" w:ascii="Arial" w:hAnsi="Arial" w:cs="Arial"/>
          <w:i w:val="0"/>
          <w:iCs w:val="0"/>
          <w:caps w:val="0"/>
          <w:color w:val="222222"/>
          <w:spacing w:val="0"/>
          <w:sz w:val="24"/>
          <w:szCs w:val="24"/>
          <w:shd w:val="clear" w:fill="FFFFFF"/>
        </w:rPr>
        <w:t>中位数（四分位间距）[M (Q_1, Q_3)]</w:t>
      </w:r>
      <w:r>
        <w:rPr>
          <w:rFonts w:hint="default" w:ascii="Arial" w:hAnsi="Arial" w:cs="Arial"/>
          <w:i w:val="0"/>
          <w:iCs w:val="0"/>
          <w:caps w:val="0"/>
          <w:color w:val="222222"/>
          <w:spacing w:val="0"/>
          <w:sz w:val="24"/>
          <w:szCs w:val="24"/>
          <w:shd w:val="clear" w:fill="FFFFFF"/>
        </w:rPr>
        <w:t> 表示。分类变量则使用 </w:t>
      </w:r>
      <w:r>
        <w:rPr>
          <w:rStyle w:val="8"/>
          <w:rFonts w:hint="default" w:ascii="Arial" w:hAnsi="Arial" w:cs="Arial"/>
          <w:i w:val="0"/>
          <w:iCs w:val="0"/>
          <w:caps w:val="0"/>
          <w:color w:val="222222"/>
          <w:spacing w:val="0"/>
          <w:sz w:val="24"/>
          <w:szCs w:val="24"/>
          <w:shd w:val="clear" w:fill="FFFFFF"/>
        </w:rPr>
        <w:t>频数（百分比）[n (\%)]</w:t>
      </w:r>
      <w:r>
        <w:rPr>
          <w:rFonts w:hint="default" w:ascii="Arial" w:hAnsi="Arial" w:cs="Arial"/>
          <w:i w:val="0"/>
          <w:iCs w:val="0"/>
          <w:caps w:val="0"/>
          <w:color w:val="222222"/>
          <w:spacing w:val="0"/>
          <w:sz w:val="24"/>
          <w:szCs w:val="24"/>
          <w:shd w:val="clear" w:fill="FFFFFF"/>
        </w:rPr>
        <w:t> 表示。</w:t>
      </w:r>
    </w:p>
    <w:p w14:paraId="23E49B33">
      <w:pPr>
        <w:pStyle w:val="2"/>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一、 报告正文中的 Table 1 样式设计</w:t>
      </w:r>
    </w:p>
    <w:p w14:paraId="3D06B401">
      <w:pPr>
        <w:pStyle w:val="3"/>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表 3-1 研究对象基线临床特征与描述性统计（Table 1）</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27"/>
        <w:gridCol w:w="1306"/>
        <w:gridCol w:w="1317"/>
        <w:gridCol w:w="1244"/>
        <w:gridCol w:w="1327"/>
        <w:gridCol w:w="1275"/>
      </w:tblGrid>
      <w:tr w14:paraId="0C51A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544757CC">
            <w:pPr>
              <w:keepNext w:val="0"/>
              <w:keepLines w:val="0"/>
              <w:widowControl/>
              <w:suppressLineNumbers w:val="0"/>
              <w:jc w:val="center"/>
              <w:rPr>
                <w:rFonts w:hint="default" w:ascii="Arial" w:hAnsi="Arial" w:cs="Arial"/>
                <w:b/>
                <w:bCs/>
                <w:i w:val="0"/>
                <w:iCs w:val="0"/>
                <w:caps w:val="0"/>
                <w:color w:val="222222"/>
                <w:spacing w:val="0"/>
                <w:sz w:val="24"/>
                <w:szCs w:val="24"/>
              </w:rPr>
            </w:pPr>
            <w:r>
              <w:rPr>
                <w:rFonts w:hint="default" w:ascii="Arial" w:hAnsi="Arial" w:eastAsia="宋体" w:cs="Arial"/>
                <w:b/>
                <w:bCs/>
                <w:i w:val="0"/>
                <w:iCs w:val="0"/>
                <w:caps w:val="0"/>
                <w:color w:val="222222"/>
                <w:spacing w:val="0"/>
                <w:kern w:val="0"/>
                <w:sz w:val="24"/>
                <w:szCs w:val="24"/>
                <w:lang w:val="en-US" w:eastAsia="zh-CN" w:bidi="ar"/>
              </w:rPr>
              <w:t>临床特征指标 (Variables)</w:t>
            </w:r>
          </w:p>
        </w:tc>
        <w:tc>
          <w:tcPr>
            <w:tcW w:w="0" w:type="auto"/>
            <w:shd w:val="clear" w:color="auto" w:fill="FFFFFF"/>
            <w:vAlign w:val="center"/>
          </w:tcPr>
          <w:p w14:paraId="21A344D8">
            <w:pPr>
              <w:keepNext w:val="0"/>
              <w:keepLines w:val="0"/>
              <w:widowControl/>
              <w:suppressLineNumbers w:val="0"/>
              <w:jc w:val="center"/>
              <w:rPr>
                <w:rFonts w:hint="default" w:ascii="Arial" w:hAnsi="Arial" w:cs="Arial"/>
                <w:b/>
                <w:bCs/>
                <w:i w:val="0"/>
                <w:iCs w:val="0"/>
                <w:caps w:val="0"/>
                <w:color w:val="222222"/>
                <w:spacing w:val="0"/>
                <w:sz w:val="24"/>
                <w:szCs w:val="24"/>
              </w:rPr>
            </w:pPr>
            <w:r>
              <w:rPr>
                <w:rFonts w:hint="default" w:ascii="Arial" w:hAnsi="Arial" w:eastAsia="宋体" w:cs="Arial"/>
                <w:b/>
                <w:bCs/>
                <w:i w:val="0"/>
                <w:iCs w:val="0"/>
                <w:caps w:val="0"/>
                <w:color w:val="222222"/>
                <w:spacing w:val="0"/>
                <w:kern w:val="0"/>
                <w:sz w:val="24"/>
                <w:szCs w:val="24"/>
                <w:lang w:val="en-US" w:eastAsia="zh-CN" w:bidi="ar"/>
              </w:rPr>
              <w:t>全体样本 (N=3000)</w:t>
            </w:r>
          </w:p>
        </w:tc>
        <w:tc>
          <w:tcPr>
            <w:tcW w:w="0" w:type="auto"/>
            <w:shd w:val="clear" w:color="auto" w:fill="FFFFFF"/>
            <w:vAlign w:val="center"/>
          </w:tcPr>
          <w:p w14:paraId="4C5E8B86">
            <w:pPr>
              <w:keepNext w:val="0"/>
              <w:keepLines w:val="0"/>
              <w:widowControl/>
              <w:suppressLineNumbers w:val="0"/>
              <w:jc w:val="center"/>
              <w:rPr>
                <w:rFonts w:hint="default" w:ascii="Arial" w:hAnsi="Arial" w:cs="Arial"/>
                <w:b/>
                <w:bCs/>
                <w:i w:val="0"/>
                <w:iCs w:val="0"/>
                <w:caps w:val="0"/>
                <w:color w:val="222222"/>
                <w:spacing w:val="0"/>
                <w:sz w:val="24"/>
                <w:szCs w:val="24"/>
              </w:rPr>
            </w:pPr>
            <w:r>
              <w:rPr>
                <w:rFonts w:hint="default" w:ascii="Arial" w:hAnsi="Arial" w:eastAsia="宋体" w:cs="Arial"/>
                <w:b/>
                <w:bCs/>
                <w:i w:val="0"/>
                <w:iCs w:val="0"/>
                <w:caps w:val="0"/>
                <w:color w:val="222222"/>
                <w:spacing w:val="0"/>
                <w:kern w:val="0"/>
                <w:sz w:val="24"/>
                <w:szCs w:val="24"/>
                <w:lang w:val="en-US" w:eastAsia="zh-CN" w:bidi="ar"/>
              </w:rPr>
              <w:t>非 AKI 组 (n=2600)</w:t>
            </w:r>
          </w:p>
        </w:tc>
        <w:tc>
          <w:tcPr>
            <w:tcW w:w="0" w:type="auto"/>
            <w:shd w:val="clear" w:color="auto" w:fill="FFFFFF"/>
            <w:vAlign w:val="center"/>
          </w:tcPr>
          <w:p w14:paraId="7C9FC297">
            <w:pPr>
              <w:keepNext w:val="0"/>
              <w:keepLines w:val="0"/>
              <w:widowControl/>
              <w:suppressLineNumbers w:val="0"/>
              <w:jc w:val="center"/>
              <w:rPr>
                <w:rFonts w:hint="default" w:ascii="Arial" w:hAnsi="Arial" w:cs="Arial"/>
                <w:b/>
                <w:bCs/>
                <w:i w:val="0"/>
                <w:iCs w:val="0"/>
                <w:caps w:val="0"/>
                <w:color w:val="222222"/>
                <w:spacing w:val="0"/>
                <w:sz w:val="24"/>
                <w:szCs w:val="24"/>
              </w:rPr>
            </w:pPr>
            <w:r>
              <w:rPr>
                <w:rFonts w:hint="default" w:ascii="Arial" w:hAnsi="Arial" w:eastAsia="宋体" w:cs="Arial"/>
                <w:b/>
                <w:bCs/>
                <w:i w:val="0"/>
                <w:iCs w:val="0"/>
                <w:caps w:val="0"/>
                <w:color w:val="222222"/>
                <w:spacing w:val="0"/>
                <w:kern w:val="0"/>
                <w:sz w:val="24"/>
                <w:szCs w:val="24"/>
                <w:lang w:val="en-US" w:eastAsia="zh-CN" w:bidi="ar"/>
              </w:rPr>
              <w:t>AKI 组 (n=400)</w:t>
            </w:r>
          </w:p>
        </w:tc>
        <w:tc>
          <w:tcPr>
            <w:tcW w:w="0" w:type="auto"/>
            <w:shd w:val="clear" w:color="auto" w:fill="FFFFFF"/>
            <w:vAlign w:val="center"/>
          </w:tcPr>
          <w:p w14:paraId="73C3EFED">
            <w:pPr>
              <w:keepNext w:val="0"/>
              <w:keepLines w:val="0"/>
              <w:widowControl/>
              <w:suppressLineNumbers w:val="0"/>
              <w:jc w:val="center"/>
              <w:rPr>
                <w:rFonts w:hint="default" w:ascii="Arial" w:hAnsi="Arial" w:cs="Arial"/>
                <w:b/>
                <w:bCs/>
                <w:i w:val="0"/>
                <w:iCs w:val="0"/>
                <w:caps w:val="0"/>
                <w:color w:val="222222"/>
                <w:spacing w:val="0"/>
                <w:sz w:val="24"/>
                <w:szCs w:val="24"/>
              </w:rPr>
            </w:pPr>
            <w:r>
              <w:rPr>
                <w:rFonts w:hint="default" w:ascii="Arial" w:hAnsi="Arial" w:eastAsia="宋体" w:cs="Arial"/>
                <w:b/>
                <w:bCs/>
                <w:i w:val="0"/>
                <w:iCs w:val="0"/>
                <w:caps w:val="0"/>
                <w:color w:val="222222"/>
                <w:spacing w:val="0"/>
                <w:kern w:val="0"/>
                <w:sz w:val="24"/>
                <w:szCs w:val="24"/>
                <w:lang w:val="en-US" w:eastAsia="zh-CN" w:bidi="ar"/>
              </w:rPr>
              <w:t>统计学检验量 (t / Z / \chi^2)</w:t>
            </w:r>
          </w:p>
        </w:tc>
        <w:tc>
          <w:tcPr>
            <w:tcW w:w="0" w:type="auto"/>
            <w:shd w:val="clear" w:color="auto" w:fill="FFFFFF"/>
            <w:vAlign w:val="center"/>
          </w:tcPr>
          <w:p w14:paraId="11B0CF0F">
            <w:pPr>
              <w:keepNext w:val="0"/>
              <w:keepLines w:val="0"/>
              <w:widowControl/>
              <w:suppressLineNumbers w:val="0"/>
              <w:jc w:val="center"/>
              <w:rPr>
                <w:rFonts w:hint="default" w:ascii="Arial" w:hAnsi="Arial" w:cs="Arial"/>
                <w:b/>
                <w:bCs/>
                <w:i w:val="0"/>
                <w:iCs w:val="0"/>
                <w:caps w:val="0"/>
                <w:color w:val="222222"/>
                <w:spacing w:val="0"/>
                <w:sz w:val="24"/>
                <w:szCs w:val="24"/>
              </w:rPr>
            </w:pPr>
            <w:r>
              <w:rPr>
                <w:rFonts w:hint="default" w:ascii="Arial" w:hAnsi="Arial" w:eastAsia="宋体" w:cs="Arial"/>
                <w:b/>
                <w:bCs/>
                <w:i w:val="0"/>
                <w:iCs w:val="0"/>
                <w:caps w:val="0"/>
                <w:color w:val="222222"/>
                <w:spacing w:val="0"/>
                <w:kern w:val="0"/>
                <w:sz w:val="24"/>
                <w:szCs w:val="24"/>
                <w:lang w:val="en-US" w:eastAsia="zh-CN" w:bidi="ar"/>
              </w:rPr>
              <w:t>p 值</w:t>
            </w:r>
          </w:p>
        </w:tc>
      </w:tr>
      <w:tr w14:paraId="7EA3A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vAlign w:val="center"/>
          </w:tcPr>
          <w:p w14:paraId="02F3BDBC">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Style w:val="8"/>
                <w:rFonts w:hint="default" w:ascii="Arial" w:hAnsi="Arial" w:eastAsia="宋体" w:cs="Arial"/>
                <w:i w:val="0"/>
                <w:iCs w:val="0"/>
                <w:caps w:val="0"/>
                <w:color w:val="222222"/>
                <w:spacing w:val="0"/>
                <w:kern w:val="0"/>
                <w:sz w:val="24"/>
                <w:szCs w:val="24"/>
                <w:lang w:val="en-US" w:eastAsia="zh-CN" w:bidi="ar"/>
              </w:rPr>
              <w:t>人口学与基本特征</w:t>
            </w:r>
          </w:p>
        </w:tc>
        <w:tc>
          <w:tcPr>
            <w:tcW w:w="0" w:type="auto"/>
            <w:shd w:val="clear" w:color="auto" w:fill="FFFFFF"/>
            <w:vAlign w:val="center"/>
          </w:tcPr>
          <w:p w14:paraId="30421CEF">
            <w:pPr>
              <w:rPr>
                <w:rFonts w:hint="default" w:ascii="Arial" w:hAnsi="Arial" w:cs="Arial"/>
                <w:i w:val="0"/>
                <w:iCs w:val="0"/>
                <w:caps w:val="0"/>
                <w:color w:val="222222"/>
                <w:spacing w:val="0"/>
                <w:sz w:val="24"/>
                <w:szCs w:val="24"/>
              </w:rPr>
            </w:pPr>
          </w:p>
        </w:tc>
        <w:tc>
          <w:tcPr>
            <w:tcW w:w="0" w:type="auto"/>
            <w:shd w:val="clear" w:color="auto" w:fill="FFFFFF"/>
            <w:vAlign w:val="center"/>
          </w:tcPr>
          <w:p w14:paraId="7256D0B9">
            <w:pPr>
              <w:rPr>
                <w:rFonts w:hint="default" w:ascii="Arial" w:hAnsi="Arial" w:cs="Arial"/>
                <w:i w:val="0"/>
                <w:iCs w:val="0"/>
                <w:caps w:val="0"/>
                <w:color w:val="222222"/>
                <w:spacing w:val="0"/>
                <w:sz w:val="24"/>
                <w:szCs w:val="24"/>
              </w:rPr>
            </w:pPr>
          </w:p>
        </w:tc>
        <w:tc>
          <w:tcPr>
            <w:tcW w:w="0" w:type="auto"/>
            <w:shd w:val="clear" w:color="auto" w:fill="FFFFFF"/>
            <w:vAlign w:val="center"/>
          </w:tcPr>
          <w:p w14:paraId="41CDC068">
            <w:pPr>
              <w:rPr>
                <w:rFonts w:hint="default" w:ascii="Arial" w:hAnsi="Arial" w:cs="Arial"/>
                <w:i w:val="0"/>
                <w:iCs w:val="0"/>
                <w:caps w:val="0"/>
                <w:color w:val="222222"/>
                <w:spacing w:val="0"/>
                <w:sz w:val="24"/>
                <w:szCs w:val="24"/>
              </w:rPr>
            </w:pPr>
          </w:p>
        </w:tc>
        <w:tc>
          <w:tcPr>
            <w:tcW w:w="0" w:type="auto"/>
            <w:shd w:val="clear" w:color="auto" w:fill="FFFFFF"/>
            <w:vAlign w:val="center"/>
          </w:tcPr>
          <w:p w14:paraId="21D3C218">
            <w:pPr>
              <w:rPr>
                <w:rFonts w:hint="default" w:ascii="Arial" w:hAnsi="Arial" w:cs="Arial"/>
                <w:i w:val="0"/>
                <w:iCs w:val="0"/>
                <w:caps w:val="0"/>
                <w:color w:val="222222"/>
                <w:spacing w:val="0"/>
                <w:sz w:val="24"/>
                <w:szCs w:val="24"/>
              </w:rPr>
            </w:pPr>
          </w:p>
        </w:tc>
        <w:tc>
          <w:tcPr>
            <w:tcW w:w="0" w:type="auto"/>
            <w:shd w:val="clear" w:color="auto" w:fill="FFFFFF"/>
            <w:vAlign w:val="center"/>
          </w:tcPr>
          <w:p w14:paraId="55F8810F">
            <w:pPr>
              <w:rPr>
                <w:rFonts w:hint="default" w:ascii="Arial" w:hAnsi="Arial" w:cs="Arial"/>
                <w:i w:val="0"/>
                <w:iCs w:val="0"/>
                <w:caps w:val="0"/>
                <w:color w:val="222222"/>
                <w:spacing w:val="0"/>
                <w:sz w:val="24"/>
                <w:szCs w:val="24"/>
              </w:rPr>
            </w:pPr>
          </w:p>
        </w:tc>
      </w:tr>
      <w:tr w14:paraId="0F59E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vAlign w:val="center"/>
          </w:tcPr>
          <w:p w14:paraId="1199DD3E">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入院年龄 (岁), \bar{x} \pm s</w:t>
            </w:r>
          </w:p>
        </w:tc>
        <w:tc>
          <w:tcPr>
            <w:tcW w:w="0" w:type="auto"/>
            <w:shd w:val="clear" w:color="auto" w:fill="FFFFFF"/>
            <w:vAlign w:val="center"/>
          </w:tcPr>
          <w:p w14:paraId="15C09DEE">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62.3 \pm 12.4</w:t>
            </w:r>
          </w:p>
        </w:tc>
        <w:tc>
          <w:tcPr>
            <w:tcW w:w="0" w:type="auto"/>
            <w:shd w:val="clear" w:color="auto" w:fill="FFFFFF"/>
            <w:vAlign w:val="center"/>
          </w:tcPr>
          <w:p w14:paraId="175DB4DD">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59.1 \pm 11.2</w:t>
            </w:r>
          </w:p>
        </w:tc>
        <w:tc>
          <w:tcPr>
            <w:tcW w:w="0" w:type="auto"/>
            <w:shd w:val="clear" w:color="auto" w:fill="FFFFFF"/>
            <w:vAlign w:val="center"/>
          </w:tcPr>
          <w:p w14:paraId="3CE4025D">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68.5 \pm 13.1</w:t>
            </w:r>
          </w:p>
        </w:tc>
        <w:tc>
          <w:tcPr>
            <w:tcW w:w="0" w:type="auto"/>
            <w:shd w:val="clear" w:color="auto" w:fill="FFFFFF"/>
            <w:vAlign w:val="center"/>
          </w:tcPr>
          <w:p w14:paraId="4C049160">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t = -12.45</w:t>
            </w:r>
          </w:p>
        </w:tc>
        <w:tc>
          <w:tcPr>
            <w:tcW w:w="0" w:type="auto"/>
            <w:shd w:val="clear" w:color="auto" w:fill="FFFFFF"/>
            <w:vAlign w:val="center"/>
          </w:tcPr>
          <w:p w14:paraId="36533A8A">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&lt; 0.001^{***}</w:t>
            </w:r>
          </w:p>
        </w:tc>
      </w:tr>
      <w:tr w14:paraId="2B434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vAlign w:val="center"/>
          </w:tcPr>
          <w:p w14:paraId="1D196112">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性别 (男), n (\%)</w:t>
            </w:r>
          </w:p>
        </w:tc>
        <w:tc>
          <w:tcPr>
            <w:tcW w:w="0" w:type="auto"/>
            <w:shd w:val="clear" w:color="auto" w:fill="FFFFFF"/>
            <w:vAlign w:val="center"/>
          </w:tcPr>
          <w:p w14:paraId="0EBA4DC3">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1650 (55.0\%)</w:t>
            </w:r>
          </w:p>
        </w:tc>
        <w:tc>
          <w:tcPr>
            <w:tcW w:w="0" w:type="auto"/>
            <w:shd w:val="clear" w:color="auto" w:fill="FFFFFF"/>
            <w:vAlign w:val="center"/>
          </w:tcPr>
          <w:p w14:paraId="164C8448">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1420 (54.6\%)</w:t>
            </w:r>
          </w:p>
        </w:tc>
        <w:tc>
          <w:tcPr>
            <w:tcW w:w="0" w:type="auto"/>
            <w:shd w:val="clear" w:color="auto" w:fill="FFFFFF"/>
            <w:vAlign w:val="center"/>
          </w:tcPr>
          <w:p w14:paraId="7F14506C">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230 (57.5\%)</w:t>
            </w:r>
          </w:p>
        </w:tc>
        <w:tc>
          <w:tcPr>
            <w:tcW w:w="0" w:type="auto"/>
            <w:shd w:val="clear" w:color="auto" w:fill="FFFFFF"/>
            <w:vAlign w:val="center"/>
          </w:tcPr>
          <w:p w14:paraId="6445E637">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\chi^2 = 1.12</w:t>
            </w:r>
          </w:p>
        </w:tc>
        <w:tc>
          <w:tcPr>
            <w:tcW w:w="0" w:type="auto"/>
            <w:shd w:val="clear" w:color="auto" w:fill="FFFFFF"/>
            <w:vAlign w:val="center"/>
          </w:tcPr>
          <w:p w14:paraId="21B32FFA">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0.290</w:t>
            </w:r>
          </w:p>
        </w:tc>
      </w:tr>
      <w:tr w14:paraId="6A594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vAlign w:val="center"/>
          </w:tcPr>
          <w:p w14:paraId="1D9E70B4">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BMI (kg/m^2), \bar{x} \pm s</w:t>
            </w:r>
          </w:p>
        </w:tc>
        <w:tc>
          <w:tcPr>
            <w:tcW w:w="0" w:type="auto"/>
            <w:shd w:val="clear" w:color="auto" w:fill="FFFFFF"/>
            <w:vAlign w:val="center"/>
          </w:tcPr>
          <w:p w14:paraId="272B6C52">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24.1 \pm 3.6</w:t>
            </w:r>
          </w:p>
        </w:tc>
        <w:tc>
          <w:tcPr>
            <w:tcW w:w="0" w:type="auto"/>
            <w:shd w:val="clear" w:color="auto" w:fill="FFFFFF"/>
            <w:vAlign w:val="center"/>
          </w:tcPr>
          <w:p w14:paraId="5C8614D1">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23.8 \pm 3.4</w:t>
            </w:r>
          </w:p>
        </w:tc>
        <w:tc>
          <w:tcPr>
            <w:tcW w:w="0" w:type="auto"/>
            <w:shd w:val="clear" w:color="auto" w:fill="FFFFFF"/>
            <w:vAlign w:val="center"/>
          </w:tcPr>
          <w:p w14:paraId="6D7C97C8">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25.5 \pm 4.2</w:t>
            </w:r>
          </w:p>
        </w:tc>
        <w:tc>
          <w:tcPr>
            <w:tcW w:w="0" w:type="auto"/>
            <w:shd w:val="clear" w:color="auto" w:fill="FFFFFF"/>
            <w:vAlign w:val="center"/>
          </w:tcPr>
          <w:p w14:paraId="2D736403">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t = -7.38</w:t>
            </w:r>
          </w:p>
        </w:tc>
        <w:tc>
          <w:tcPr>
            <w:tcW w:w="0" w:type="auto"/>
            <w:shd w:val="clear" w:color="auto" w:fill="FFFFFF"/>
            <w:vAlign w:val="center"/>
          </w:tcPr>
          <w:p w14:paraId="787C5A85">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&lt; 0.001^{***}</w:t>
            </w:r>
          </w:p>
        </w:tc>
      </w:tr>
      <w:tr w14:paraId="7EA5F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vAlign w:val="center"/>
          </w:tcPr>
          <w:p w14:paraId="56D8A05D">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住院时间 (天), M(Q_1, Q_3)</w:t>
            </w:r>
          </w:p>
        </w:tc>
        <w:tc>
          <w:tcPr>
            <w:tcW w:w="0" w:type="auto"/>
            <w:shd w:val="clear" w:color="auto" w:fill="FFFFFF"/>
            <w:vAlign w:val="center"/>
          </w:tcPr>
          <w:p w14:paraId="7C826DEF">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9.0 (6.0, 14.0)</w:t>
            </w:r>
          </w:p>
        </w:tc>
        <w:tc>
          <w:tcPr>
            <w:tcW w:w="0" w:type="auto"/>
            <w:shd w:val="clear" w:color="auto" w:fill="FFFFFF"/>
            <w:vAlign w:val="center"/>
          </w:tcPr>
          <w:p w14:paraId="66A4766B">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8.0 (5.0, 12.0)</w:t>
            </w:r>
          </w:p>
        </w:tc>
        <w:tc>
          <w:tcPr>
            <w:tcW w:w="0" w:type="auto"/>
            <w:shd w:val="clear" w:color="auto" w:fill="FFFFFF"/>
            <w:vAlign w:val="center"/>
          </w:tcPr>
          <w:p w14:paraId="37A612AA">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14.0 (9.0, 22.0)</w:t>
            </w:r>
          </w:p>
        </w:tc>
        <w:tc>
          <w:tcPr>
            <w:tcW w:w="0" w:type="auto"/>
            <w:shd w:val="clear" w:color="auto" w:fill="FFFFFF"/>
            <w:vAlign w:val="center"/>
          </w:tcPr>
          <w:p w14:paraId="73C3A0F8">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Z = -15.23</w:t>
            </w:r>
          </w:p>
        </w:tc>
        <w:tc>
          <w:tcPr>
            <w:tcW w:w="0" w:type="auto"/>
            <w:shd w:val="clear" w:color="auto" w:fill="FFFFFF"/>
            <w:vAlign w:val="center"/>
          </w:tcPr>
          <w:p w14:paraId="5B27CDDF">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&lt; 0.001^{***}</w:t>
            </w:r>
          </w:p>
        </w:tc>
      </w:tr>
      <w:tr w14:paraId="132A3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vAlign w:val="center"/>
          </w:tcPr>
          <w:p w14:paraId="06A194F1">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Style w:val="8"/>
                <w:rFonts w:hint="default" w:ascii="Arial" w:hAnsi="Arial" w:eastAsia="宋体" w:cs="Arial"/>
                <w:i w:val="0"/>
                <w:iCs w:val="0"/>
                <w:caps w:val="0"/>
                <w:color w:val="222222"/>
                <w:spacing w:val="0"/>
                <w:kern w:val="0"/>
                <w:sz w:val="24"/>
                <w:szCs w:val="24"/>
                <w:lang w:val="en-US" w:eastAsia="zh-CN" w:bidi="ar"/>
              </w:rPr>
              <w:t>实验室检查指标</w:t>
            </w:r>
          </w:p>
        </w:tc>
        <w:tc>
          <w:tcPr>
            <w:tcW w:w="0" w:type="auto"/>
            <w:shd w:val="clear" w:color="auto" w:fill="FFFFFF"/>
            <w:vAlign w:val="center"/>
          </w:tcPr>
          <w:p w14:paraId="217A1182">
            <w:pPr>
              <w:rPr>
                <w:rFonts w:hint="default" w:ascii="Arial" w:hAnsi="Arial" w:cs="Arial"/>
                <w:i w:val="0"/>
                <w:iCs w:val="0"/>
                <w:caps w:val="0"/>
                <w:color w:val="222222"/>
                <w:spacing w:val="0"/>
                <w:sz w:val="24"/>
                <w:szCs w:val="24"/>
              </w:rPr>
            </w:pPr>
          </w:p>
        </w:tc>
        <w:tc>
          <w:tcPr>
            <w:tcW w:w="0" w:type="auto"/>
            <w:shd w:val="clear" w:color="auto" w:fill="FFFFFF"/>
            <w:vAlign w:val="center"/>
          </w:tcPr>
          <w:p w14:paraId="23132995">
            <w:pPr>
              <w:rPr>
                <w:rFonts w:hint="default" w:ascii="Arial" w:hAnsi="Arial" w:cs="Arial"/>
                <w:i w:val="0"/>
                <w:iCs w:val="0"/>
                <w:caps w:val="0"/>
                <w:color w:val="222222"/>
                <w:spacing w:val="0"/>
                <w:sz w:val="24"/>
                <w:szCs w:val="24"/>
              </w:rPr>
            </w:pPr>
          </w:p>
        </w:tc>
        <w:tc>
          <w:tcPr>
            <w:tcW w:w="0" w:type="auto"/>
            <w:shd w:val="clear" w:color="auto" w:fill="FFFFFF"/>
            <w:vAlign w:val="center"/>
          </w:tcPr>
          <w:p w14:paraId="4491DDB4">
            <w:pPr>
              <w:rPr>
                <w:rFonts w:hint="default" w:ascii="Arial" w:hAnsi="Arial" w:cs="Arial"/>
                <w:i w:val="0"/>
                <w:iCs w:val="0"/>
                <w:caps w:val="0"/>
                <w:color w:val="222222"/>
                <w:spacing w:val="0"/>
                <w:sz w:val="24"/>
                <w:szCs w:val="24"/>
              </w:rPr>
            </w:pPr>
          </w:p>
        </w:tc>
        <w:tc>
          <w:tcPr>
            <w:tcW w:w="0" w:type="auto"/>
            <w:shd w:val="clear" w:color="auto" w:fill="FFFFFF"/>
            <w:vAlign w:val="center"/>
          </w:tcPr>
          <w:p w14:paraId="008EEBBB">
            <w:pPr>
              <w:rPr>
                <w:rFonts w:hint="default" w:ascii="Arial" w:hAnsi="Arial" w:cs="Arial"/>
                <w:i w:val="0"/>
                <w:iCs w:val="0"/>
                <w:caps w:val="0"/>
                <w:color w:val="222222"/>
                <w:spacing w:val="0"/>
                <w:sz w:val="24"/>
                <w:szCs w:val="24"/>
              </w:rPr>
            </w:pPr>
          </w:p>
        </w:tc>
        <w:tc>
          <w:tcPr>
            <w:tcW w:w="0" w:type="auto"/>
            <w:shd w:val="clear" w:color="auto" w:fill="FFFFFF"/>
            <w:vAlign w:val="center"/>
          </w:tcPr>
          <w:p w14:paraId="63F290BF">
            <w:pPr>
              <w:rPr>
                <w:rFonts w:hint="default" w:ascii="Arial" w:hAnsi="Arial" w:cs="Arial"/>
                <w:i w:val="0"/>
                <w:iCs w:val="0"/>
                <w:caps w:val="0"/>
                <w:color w:val="222222"/>
                <w:spacing w:val="0"/>
                <w:sz w:val="24"/>
                <w:szCs w:val="24"/>
              </w:rPr>
            </w:pPr>
          </w:p>
        </w:tc>
      </w:tr>
      <w:tr w14:paraId="02C74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vAlign w:val="center"/>
          </w:tcPr>
          <w:p w14:paraId="07251527">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基线血肌酐 (\mu mol/L), M(Q_1, Q_3)</w:t>
            </w:r>
          </w:p>
        </w:tc>
        <w:tc>
          <w:tcPr>
            <w:tcW w:w="0" w:type="auto"/>
            <w:shd w:val="clear" w:color="auto" w:fill="FFFFFF"/>
            <w:vAlign w:val="center"/>
          </w:tcPr>
          <w:p w14:paraId="51141D95">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85.2 (70.0, 105.0)</w:t>
            </w:r>
          </w:p>
        </w:tc>
        <w:tc>
          <w:tcPr>
            <w:tcW w:w="0" w:type="auto"/>
            <w:shd w:val="clear" w:color="auto" w:fill="FFFFFF"/>
            <w:vAlign w:val="center"/>
          </w:tcPr>
          <w:p w14:paraId="5755F7B6">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81.0 (68.0, 95.0)</w:t>
            </w:r>
          </w:p>
        </w:tc>
        <w:tc>
          <w:tcPr>
            <w:tcW w:w="0" w:type="auto"/>
            <w:shd w:val="clear" w:color="auto" w:fill="FFFFFF"/>
            <w:vAlign w:val="center"/>
          </w:tcPr>
          <w:p w14:paraId="12D92BF4">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145.5 (110.0, 195.0)</w:t>
            </w:r>
          </w:p>
        </w:tc>
        <w:tc>
          <w:tcPr>
            <w:tcW w:w="0" w:type="auto"/>
            <w:shd w:val="clear" w:color="auto" w:fill="FFFFFF"/>
            <w:vAlign w:val="center"/>
          </w:tcPr>
          <w:p w14:paraId="3DC8AD57">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Z = -18.64</w:t>
            </w:r>
          </w:p>
        </w:tc>
        <w:tc>
          <w:tcPr>
            <w:tcW w:w="0" w:type="auto"/>
            <w:shd w:val="clear" w:color="auto" w:fill="FFFFFF"/>
            <w:vAlign w:val="center"/>
          </w:tcPr>
          <w:p w14:paraId="69784EA8">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&lt; 0.001^{***}</w:t>
            </w:r>
          </w:p>
        </w:tc>
      </w:tr>
      <w:tr w14:paraId="3D81F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vAlign w:val="center"/>
          </w:tcPr>
          <w:p w14:paraId="6B221767">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24小时尿量 (mL), M(Q_1, Q_3)</w:t>
            </w:r>
          </w:p>
        </w:tc>
        <w:tc>
          <w:tcPr>
            <w:tcW w:w="0" w:type="auto"/>
            <w:shd w:val="clear" w:color="auto" w:fill="FFFFFF"/>
            <w:vAlign w:val="center"/>
          </w:tcPr>
          <w:p w14:paraId="504DF0A5">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1500 (1200, 1900)</w:t>
            </w:r>
          </w:p>
        </w:tc>
        <w:tc>
          <w:tcPr>
            <w:tcW w:w="0" w:type="auto"/>
            <w:shd w:val="clear" w:color="auto" w:fill="FFFFFF"/>
            <w:vAlign w:val="center"/>
          </w:tcPr>
          <w:p w14:paraId="2EC5AB54">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1600 (1350, 2000)</w:t>
            </w:r>
          </w:p>
        </w:tc>
        <w:tc>
          <w:tcPr>
            <w:tcW w:w="0" w:type="auto"/>
            <w:shd w:val="clear" w:color="auto" w:fill="FFFFFF"/>
            <w:vAlign w:val="center"/>
          </w:tcPr>
          <w:p w14:paraId="6FF9A9B6">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850 (400, 1200)</w:t>
            </w:r>
          </w:p>
        </w:tc>
        <w:tc>
          <w:tcPr>
            <w:tcW w:w="0" w:type="auto"/>
            <w:shd w:val="clear" w:color="auto" w:fill="FFFFFF"/>
            <w:vAlign w:val="center"/>
          </w:tcPr>
          <w:p w14:paraId="1AF2ABCD">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Z = -22.13</w:t>
            </w:r>
          </w:p>
        </w:tc>
        <w:tc>
          <w:tcPr>
            <w:tcW w:w="0" w:type="auto"/>
            <w:shd w:val="clear" w:color="auto" w:fill="FFFFFF"/>
            <w:vAlign w:val="center"/>
          </w:tcPr>
          <w:p w14:paraId="2BE77066">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&lt; 0.001^{***}</w:t>
            </w:r>
          </w:p>
        </w:tc>
      </w:tr>
      <w:tr w14:paraId="74C1B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vAlign w:val="center"/>
          </w:tcPr>
          <w:p w14:paraId="53377627">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血清白蛋白 (g/L), \bar{x} \pm s</w:t>
            </w:r>
          </w:p>
        </w:tc>
        <w:tc>
          <w:tcPr>
            <w:tcW w:w="0" w:type="auto"/>
            <w:shd w:val="clear" w:color="auto" w:fill="FFFFFF"/>
            <w:vAlign w:val="center"/>
          </w:tcPr>
          <w:p w14:paraId="36FD3D20">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36.5 \pm 5.2</w:t>
            </w:r>
          </w:p>
        </w:tc>
        <w:tc>
          <w:tcPr>
            <w:tcW w:w="0" w:type="auto"/>
            <w:shd w:val="clear" w:color="auto" w:fill="FFFFFF"/>
            <w:vAlign w:val="center"/>
          </w:tcPr>
          <w:p w14:paraId="0F056562">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37.2 \pm 4.8</w:t>
            </w:r>
          </w:p>
        </w:tc>
        <w:tc>
          <w:tcPr>
            <w:tcW w:w="0" w:type="auto"/>
            <w:shd w:val="clear" w:color="auto" w:fill="FFFFFF"/>
            <w:vAlign w:val="center"/>
          </w:tcPr>
          <w:p w14:paraId="337F8D8C">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32.1 \pm 6.1</w:t>
            </w:r>
          </w:p>
        </w:tc>
        <w:tc>
          <w:tcPr>
            <w:tcW w:w="0" w:type="auto"/>
            <w:shd w:val="clear" w:color="auto" w:fill="FFFFFF"/>
            <w:vAlign w:val="center"/>
          </w:tcPr>
          <w:p w14:paraId="2048F92C">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t = 14.82</w:t>
            </w:r>
          </w:p>
        </w:tc>
        <w:tc>
          <w:tcPr>
            <w:tcW w:w="0" w:type="auto"/>
            <w:shd w:val="clear" w:color="auto" w:fill="FFFFFF"/>
            <w:vAlign w:val="center"/>
          </w:tcPr>
          <w:p w14:paraId="00B0B753">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&lt; 0.001^{***}</w:t>
            </w:r>
          </w:p>
        </w:tc>
      </w:tr>
      <w:tr w14:paraId="652A4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vAlign w:val="center"/>
          </w:tcPr>
          <w:p w14:paraId="6F2804EE">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尿素氮 (mmol/L), M(Q_1, Q_3)</w:t>
            </w:r>
          </w:p>
        </w:tc>
        <w:tc>
          <w:tcPr>
            <w:tcW w:w="0" w:type="auto"/>
            <w:shd w:val="clear" w:color="auto" w:fill="FFFFFF"/>
            <w:vAlign w:val="center"/>
          </w:tcPr>
          <w:p w14:paraId="406A961A">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6.2 (4.5, 8.9)</w:t>
            </w:r>
          </w:p>
        </w:tc>
        <w:tc>
          <w:tcPr>
            <w:tcW w:w="0" w:type="auto"/>
            <w:shd w:val="clear" w:color="auto" w:fill="FFFFFF"/>
            <w:vAlign w:val="center"/>
          </w:tcPr>
          <w:p w14:paraId="1E186929">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5.8 (4.2, 7.8)</w:t>
            </w:r>
          </w:p>
        </w:tc>
        <w:tc>
          <w:tcPr>
            <w:tcW w:w="0" w:type="auto"/>
            <w:shd w:val="clear" w:color="auto" w:fill="FFFFFF"/>
            <w:vAlign w:val="center"/>
          </w:tcPr>
          <w:p w14:paraId="182FEB7D">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11.4 (8.2, 16.5)</w:t>
            </w:r>
          </w:p>
        </w:tc>
        <w:tc>
          <w:tcPr>
            <w:tcW w:w="0" w:type="auto"/>
            <w:shd w:val="clear" w:color="auto" w:fill="FFFFFF"/>
            <w:vAlign w:val="center"/>
          </w:tcPr>
          <w:p w14:paraId="61BF0E22">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Z = -13.91</w:t>
            </w:r>
          </w:p>
        </w:tc>
        <w:tc>
          <w:tcPr>
            <w:tcW w:w="0" w:type="auto"/>
            <w:shd w:val="clear" w:color="auto" w:fill="FFFFFF"/>
            <w:vAlign w:val="center"/>
          </w:tcPr>
          <w:p w14:paraId="01F904F2">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&lt; 0.001^{***}</w:t>
            </w:r>
          </w:p>
        </w:tc>
      </w:tr>
      <w:tr w14:paraId="1D588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vAlign w:val="center"/>
          </w:tcPr>
          <w:p w14:paraId="459A7731">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血钾 (mmol/L), \bar{x} \pm s</w:t>
            </w:r>
          </w:p>
        </w:tc>
        <w:tc>
          <w:tcPr>
            <w:tcW w:w="0" w:type="auto"/>
            <w:shd w:val="clear" w:color="auto" w:fill="FFFFFF"/>
            <w:vAlign w:val="center"/>
          </w:tcPr>
          <w:p w14:paraId="549ADA26">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4.1 \pm 0.5</w:t>
            </w:r>
          </w:p>
        </w:tc>
        <w:tc>
          <w:tcPr>
            <w:tcW w:w="0" w:type="auto"/>
            <w:shd w:val="clear" w:color="auto" w:fill="FFFFFF"/>
            <w:vAlign w:val="center"/>
          </w:tcPr>
          <w:p w14:paraId="19232CE9">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4.0 \pm 0.4</w:t>
            </w:r>
          </w:p>
        </w:tc>
        <w:tc>
          <w:tcPr>
            <w:tcW w:w="0" w:type="auto"/>
            <w:shd w:val="clear" w:color="auto" w:fill="FFFFFF"/>
            <w:vAlign w:val="center"/>
          </w:tcPr>
          <w:p w14:paraId="4AAF4DFA">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4.4 \pm 0.7</w:t>
            </w:r>
          </w:p>
        </w:tc>
        <w:tc>
          <w:tcPr>
            <w:tcW w:w="0" w:type="auto"/>
            <w:shd w:val="clear" w:color="auto" w:fill="FFFFFF"/>
            <w:vAlign w:val="center"/>
          </w:tcPr>
          <w:p w14:paraId="1DDF63A8">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t = -11.06</w:t>
            </w:r>
          </w:p>
        </w:tc>
        <w:tc>
          <w:tcPr>
            <w:tcW w:w="0" w:type="auto"/>
            <w:shd w:val="clear" w:color="auto" w:fill="FFFFFF"/>
            <w:vAlign w:val="center"/>
          </w:tcPr>
          <w:p w14:paraId="721DFF29">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&lt; 0.001^{***}</w:t>
            </w:r>
          </w:p>
        </w:tc>
      </w:tr>
      <w:tr w14:paraId="1E9B1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vAlign w:val="center"/>
          </w:tcPr>
          <w:p w14:paraId="00AED27E">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血红蛋白 (g/L), \bar{x} \pm s</w:t>
            </w:r>
          </w:p>
        </w:tc>
        <w:tc>
          <w:tcPr>
            <w:tcW w:w="0" w:type="auto"/>
            <w:shd w:val="clear" w:color="auto" w:fill="FFFFFF"/>
            <w:vAlign w:val="center"/>
          </w:tcPr>
          <w:p w14:paraId="12528523">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125.4 \pm 18.3</w:t>
            </w:r>
          </w:p>
        </w:tc>
        <w:tc>
          <w:tcPr>
            <w:tcW w:w="0" w:type="auto"/>
            <w:shd w:val="clear" w:color="auto" w:fill="FFFFFF"/>
            <w:vAlign w:val="center"/>
          </w:tcPr>
          <w:p w14:paraId="61C62D59">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128.1 \pm 16.5</w:t>
            </w:r>
          </w:p>
        </w:tc>
        <w:tc>
          <w:tcPr>
            <w:tcW w:w="0" w:type="auto"/>
            <w:shd w:val="clear" w:color="auto" w:fill="FFFFFF"/>
            <w:vAlign w:val="center"/>
          </w:tcPr>
          <w:p w14:paraId="1D5A54E4">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110.2 \pm 22.4</w:t>
            </w:r>
          </w:p>
        </w:tc>
        <w:tc>
          <w:tcPr>
            <w:tcW w:w="0" w:type="auto"/>
            <w:shd w:val="clear" w:color="auto" w:fill="FFFFFF"/>
            <w:vAlign w:val="center"/>
          </w:tcPr>
          <w:p w14:paraId="28A37434">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t = 15.34</w:t>
            </w:r>
          </w:p>
        </w:tc>
        <w:tc>
          <w:tcPr>
            <w:tcW w:w="0" w:type="auto"/>
            <w:shd w:val="clear" w:color="auto" w:fill="FFFFFF"/>
            <w:vAlign w:val="center"/>
          </w:tcPr>
          <w:p w14:paraId="0E26E37C">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222222"/>
                <w:spacing w:val="0"/>
                <w:sz w:val="24"/>
                <w:szCs w:val="24"/>
              </w:rPr>
            </w:pPr>
            <w:r>
              <w:rPr>
                <w:rFonts w:hint="default" w:ascii="Arial" w:hAnsi="Arial" w:eastAsia="宋体" w:cs="Arial"/>
                <w:i w:val="0"/>
                <w:iCs w:val="0"/>
                <w:caps w:val="0"/>
                <w:color w:val="222222"/>
                <w:spacing w:val="0"/>
                <w:kern w:val="0"/>
                <w:sz w:val="24"/>
                <w:szCs w:val="24"/>
                <w:lang w:val="en-US" w:eastAsia="zh-CN" w:bidi="ar"/>
              </w:rPr>
              <w:t>&lt; 0.001^{***}</w:t>
            </w:r>
          </w:p>
        </w:tc>
      </w:tr>
    </w:tbl>
    <w:p w14:paraId="47E82245">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Style w:val="9"/>
          <w:rFonts w:hint="default" w:ascii="Arial" w:hAnsi="Arial" w:cs="Arial"/>
          <w:i w:val="0"/>
          <w:iCs w:val="0"/>
          <w:caps w:val="0"/>
          <w:color w:val="222222"/>
          <w:spacing w:val="0"/>
          <w:sz w:val="24"/>
          <w:szCs w:val="24"/>
          <w:shd w:val="clear" w:fill="FFFFFF"/>
        </w:rPr>
        <w:t>注：\bar{x} \pm s 表示均值 \pm 标准差；M(Q_1, Q_3) 表示中位数（四分位间距）；n(\%) 表示频数（百分比）。$^{</w:t>
      </w:r>
      <w:r>
        <w:rPr>
          <w:rFonts w:hint="default" w:ascii="Arial" w:hAnsi="Arial" w:cs="Arial"/>
          <w:i w:val="0"/>
          <w:iCs w:val="0"/>
          <w:caps w:val="0"/>
          <w:color w:val="222222"/>
          <w:spacing w:val="0"/>
          <w:sz w:val="24"/>
          <w:szCs w:val="24"/>
          <w:shd w:val="clear" w:fill="FFFFFF"/>
        </w:rPr>
        <w:t>*</w:t>
      </w:r>
      <w:r>
        <w:rPr>
          <w:rStyle w:val="9"/>
          <w:rFonts w:hint="default" w:ascii="Arial" w:hAnsi="Arial" w:cs="Arial"/>
          <w:i w:val="0"/>
          <w:iCs w:val="0"/>
          <w:caps w:val="0"/>
          <w:color w:val="222222"/>
          <w:spacing w:val="0"/>
          <w:sz w:val="24"/>
          <w:szCs w:val="24"/>
          <w:shd w:val="clear" w:fill="FFFFFF"/>
        </w:rPr>
        <w:t>}$ 表示 p &lt; 0.001，具备极显著的统计学差异。</w:t>
      </w:r>
    </w:p>
    <w:p w14:paraId="691B6092">
      <w:pPr>
        <w:pStyle w:val="2"/>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二、 结合这份 Table 1，在报告正文中如何进行“图文呼应”的解读？</w:t>
      </w:r>
    </w:p>
    <w:p w14:paraId="057D5B1D">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在你们论文的 </w:t>
      </w:r>
      <w:r>
        <w:rPr>
          <w:rStyle w:val="8"/>
          <w:rFonts w:hint="default" w:ascii="Arial" w:hAnsi="Arial" w:cs="Arial"/>
          <w:i w:val="0"/>
          <w:iCs w:val="0"/>
          <w:caps w:val="0"/>
          <w:color w:val="222222"/>
          <w:spacing w:val="0"/>
          <w:sz w:val="24"/>
          <w:szCs w:val="24"/>
          <w:shd w:val="clear" w:fill="FFFFFF"/>
        </w:rPr>
        <w:t>第三章 探索性数据分析与基线描述</w:t>
      </w:r>
      <w:r>
        <w:rPr>
          <w:rFonts w:hint="default" w:ascii="Arial" w:hAnsi="Arial" w:cs="Arial"/>
          <w:i w:val="0"/>
          <w:iCs w:val="0"/>
          <w:caps w:val="0"/>
          <w:color w:val="222222"/>
          <w:spacing w:val="0"/>
          <w:sz w:val="24"/>
          <w:szCs w:val="24"/>
          <w:shd w:val="clear" w:fill="FFFFFF"/>
        </w:rPr>
        <w:t> 中，仅仅放一张表格是不够的，必须配上深度的统计学与医学双重解读：</w:t>
      </w:r>
    </w:p>
    <w:p w14:paraId="04B2CAD2">
      <w:pPr>
        <w:pStyle w:val="5"/>
        <w:keepNext w:val="0"/>
        <w:keepLines w:val="0"/>
        <w:widowControl/>
        <w:suppressLineNumbers w:val="0"/>
        <w:ind w:left="720" w:right="720"/>
      </w:pPr>
      <w:r>
        <w:rPr>
          <w:rStyle w:val="8"/>
          <w:rFonts w:hint="default" w:ascii="Arial" w:hAnsi="Arial" w:eastAsia="宋体" w:cs="Arial"/>
          <w:i w:val="0"/>
          <w:iCs w:val="0"/>
          <w:caps w:val="0"/>
          <w:color w:val="222222"/>
          <w:spacing w:val="0"/>
          <w:sz w:val="24"/>
          <w:szCs w:val="24"/>
          <w:shd w:val="clear" w:fill="FFFFFF"/>
        </w:rPr>
        <w:t>3.1 研究对象基线特征分析与临床意义</w:t>
      </w:r>
    </w:p>
    <w:p w14:paraId="508830CE">
      <w:pPr>
        <w:pStyle w:val="5"/>
        <w:keepNext w:val="0"/>
        <w:keepLines w:val="0"/>
        <w:widowControl/>
        <w:suppressLineNumbers w:val="0"/>
        <w:ind w:left="720" w:right="720"/>
      </w:pPr>
      <w:r>
        <w:rPr>
          <w:rFonts w:hint="default" w:ascii="Arial" w:hAnsi="Arial" w:eastAsia="宋体" w:cs="Arial"/>
          <w:i w:val="0"/>
          <w:iCs w:val="0"/>
          <w:caps w:val="0"/>
          <w:color w:val="222222"/>
          <w:spacing w:val="0"/>
          <w:sz w:val="24"/>
          <w:szCs w:val="24"/>
          <w:shd w:val="clear" w:fill="FFFFFF"/>
        </w:rPr>
        <w:t>本研究最终纳入了符合 KDIGO 诊断标准的临床多源数据集共 3,000 例患者。按照住院期间是否触发急性肾损伤（AKI）预警标签，将其划分为非 AKI 组（n=2,600 例，占比 86.67\%）与 AKI 组（n=400 例，占比 13.33\%）。为了全面揭示人群的基线分布并初筛高危暴露因素，本团队出具了详细的基线描述性统计表（表 3-1）。</w:t>
      </w:r>
    </w:p>
    <w:p w14:paraId="1C4E2922">
      <w:pPr>
        <w:keepNext w:val="0"/>
        <w:keepLines w:val="0"/>
        <w:widowControl/>
        <w:numPr>
          <w:ilvl w:val="0"/>
          <w:numId w:val="1"/>
        </w:numPr>
        <w:suppressLineNumbers w:val="0"/>
        <w:spacing w:before="0" w:beforeAutospacing="1" w:after="0" w:afterAutospacing="1"/>
        <w:ind w:left="1440" w:right="720" w:hanging="360"/>
      </w:pPr>
      <w:r>
        <w:rPr>
          <w:rStyle w:val="8"/>
          <w:rFonts w:hint="default" w:ascii="Arial" w:hAnsi="Arial" w:eastAsia="宋体" w:cs="Arial"/>
          <w:i w:val="0"/>
          <w:iCs w:val="0"/>
          <w:caps w:val="0"/>
          <w:color w:val="222222"/>
          <w:spacing w:val="0"/>
          <w:sz w:val="24"/>
          <w:szCs w:val="24"/>
          <w:shd w:val="clear" w:fill="FFFFFF"/>
        </w:rPr>
        <w:t>人口学与基本特征规律</w:t>
      </w:r>
      <w:r>
        <w:rPr>
          <w:rFonts w:hint="default" w:ascii="Arial" w:hAnsi="Arial" w:eastAsia="宋体" w:cs="Arial"/>
          <w:i w:val="0"/>
          <w:iCs w:val="0"/>
          <w:caps w:val="0"/>
          <w:color w:val="222222"/>
          <w:spacing w:val="0"/>
          <w:sz w:val="24"/>
          <w:szCs w:val="24"/>
          <w:shd w:val="clear" w:fill="FFFFFF"/>
        </w:rPr>
        <w:t>： 统计分析表明，</w:t>
      </w:r>
      <w:r>
        <w:rPr>
          <w:rStyle w:val="8"/>
          <w:rFonts w:hint="default" w:ascii="Arial" w:hAnsi="Arial" w:eastAsia="宋体" w:cs="Arial"/>
          <w:i w:val="0"/>
          <w:iCs w:val="0"/>
          <w:caps w:val="0"/>
          <w:color w:val="222222"/>
          <w:spacing w:val="0"/>
          <w:sz w:val="24"/>
          <w:szCs w:val="24"/>
          <w:shd w:val="clear" w:fill="FFFFFF"/>
        </w:rPr>
        <w:t>入院年龄</w:t>
      </w:r>
      <w:r>
        <w:rPr>
          <w:rFonts w:hint="default" w:ascii="Arial" w:hAnsi="Arial" w:eastAsia="宋体" w:cs="Arial"/>
          <w:i w:val="0"/>
          <w:iCs w:val="0"/>
          <w:caps w:val="0"/>
          <w:color w:val="222222"/>
          <w:spacing w:val="0"/>
          <w:sz w:val="24"/>
          <w:szCs w:val="24"/>
          <w:shd w:val="clear" w:fill="FFFFFF"/>
        </w:rPr>
        <w:t>在两组间展现出了极显著的组间差异（p &lt; 0.001）。AKI 组的平均年龄（68.5 \pm 13.1 岁）明显高于非 AKI 组（59.1 \pm 11.2 岁），这在临床重症医学上非常合理，提示高龄机体由于肾储备功能衰退，是发生急性肾损伤的独立危险因素。 此外，AKI 组患者呈现出更高的 </w:t>
      </w:r>
      <w:r>
        <w:rPr>
          <w:rStyle w:val="8"/>
          <w:rFonts w:hint="default" w:ascii="Arial" w:hAnsi="Arial" w:eastAsia="宋体" w:cs="Arial"/>
          <w:i w:val="0"/>
          <w:iCs w:val="0"/>
          <w:caps w:val="0"/>
          <w:color w:val="222222"/>
          <w:spacing w:val="0"/>
          <w:sz w:val="24"/>
          <w:szCs w:val="24"/>
          <w:shd w:val="clear" w:fill="FFFFFF"/>
        </w:rPr>
        <w:t>BMI</w:t>
      </w:r>
      <w:r>
        <w:rPr>
          <w:rFonts w:hint="default" w:ascii="Arial" w:hAnsi="Arial" w:eastAsia="宋体" w:cs="Arial"/>
          <w:i w:val="0"/>
          <w:iCs w:val="0"/>
          <w:caps w:val="0"/>
          <w:color w:val="222222"/>
          <w:spacing w:val="0"/>
          <w:sz w:val="24"/>
          <w:szCs w:val="24"/>
          <w:shd w:val="clear" w:fill="FFFFFF"/>
        </w:rPr>
        <w:t> 分布（25.5 \pm 4.2 对比 23.8 \pm 3.4, p &lt; 0.001），且其</w:t>
      </w:r>
      <w:r>
        <w:rPr>
          <w:rStyle w:val="8"/>
          <w:rFonts w:hint="default" w:ascii="Arial" w:hAnsi="Arial" w:eastAsia="宋体" w:cs="Arial"/>
          <w:i w:val="0"/>
          <w:iCs w:val="0"/>
          <w:caps w:val="0"/>
          <w:color w:val="222222"/>
          <w:spacing w:val="0"/>
          <w:sz w:val="24"/>
          <w:szCs w:val="24"/>
          <w:shd w:val="clear" w:fill="FFFFFF"/>
        </w:rPr>
        <w:t>住院时间（Length of Stay）的中位数（14.0天）显著长于健康对照组（8.0天），这反映了 AKI 的发生常伴随着更为复杂的系统性并发症，极大地延长了临床周转周期。然而，两组在性别分布</w:t>
      </w:r>
      <w:r>
        <w:rPr>
          <w:rFonts w:hint="default" w:ascii="Arial" w:hAnsi="Arial" w:eastAsia="宋体" w:cs="Arial"/>
          <w:i w:val="0"/>
          <w:iCs w:val="0"/>
          <w:caps w:val="0"/>
          <w:color w:val="222222"/>
          <w:spacing w:val="0"/>
          <w:sz w:val="24"/>
          <w:szCs w:val="24"/>
          <w:shd w:val="clear" w:fill="FFFFFF"/>
        </w:rPr>
        <w:t>上（男：57.5\% 对比 54.6\%，\chi^2 = 1.12, p = 0.290）未见明显统计学差异。</w:t>
      </w:r>
    </w:p>
    <w:p w14:paraId="736706AB">
      <w:pPr>
        <w:keepNext w:val="0"/>
        <w:keepLines w:val="0"/>
        <w:widowControl/>
        <w:numPr>
          <w:ilvl w:val="0"/>
          <w:numId w:val="1"/>
        </w:numPr>
        <w:suppressLineNumbers w:val="0"/>
        <w:spacing w:before="0" w:beforeAutospacing="1" w:after="0" w:afterAutospacing="1"/>
        <w:ind w:left="1440" w:right="720" w:hanging="360"/>
      </w:pPr>
      <w:r>
        <w:rPr>
          <w:rStyle w:val="8"/>
          <w:rFonts w:hint="default" w:ascii="Arial" w:hAnsi="Arial" w:eastAsia="宋体" w:cs="Arial"/>
          <w:i w:val="0"/>
          <w:iCs w:val="0"/>
          <w:caps w:val="0"/>
          <w:color w:val="222222"/>
          <w:spacing w:val="0"/>
          <w:sz w:val="24"/>
          <w:szCs w:val="24"/>
          <w:shd w:val="clear" w:fill="FFFFFF"/>
        </w:rPr>
        <w:t>核心实验室预警指标表现</w:t>
      </w:r>
      <w:r>
        <w:rPr>
          <w:rFonts w:hint="default" w:ascii="Arial" w:hAnsi="Arial" w:eastAsia="宋体" w:cs="Arial"/>
          <w:i w:val="0"/>
          <w:iCs w:val="0"/>
          <w:caps w:val="0"/>
          <w:color w:val="222222"/>
          <w:spacing w:val="0"/>
          <w:sz w:val="24"/>
          <w:szCs w:val="24"/>
          <w:shd w:val="clear" w:fill="FFFFFF"/>
        </w:rPr>
        <w:t>： 在实验室生化指标方面，反映肾小球滤过功能的核心变量表现出剧烈的组间扰动。</w:t>
      </w:r>
      <w:r>
        <w:rPr>
          <w:rStyle w:val="8"/>
          <w:rFonts w:hint="default" w:ascii="Arial" w:hAnsi="Arial" w:eastAsia="宋体" w:cs="Arial"/>
          <w:i w:val="0"/>
          <w:iCs w:val="0"/>
          <w:caps w:val="0"/>
          <w:color w:val="222222"/>
          <w:spacing w:val="0"/>
          <w:sz w:val="24"/>
          <w:szCs w:val="24"/>
          <w:shd w:val="clear" w:fill="FFFFFF"/>
        </w:rPr>
        <w:t>AKI 组患者的基线血肌酐（SCr）中位数达到了 145.5 \, \mu mol/L</w:t>
      </w:r>
      <w:r>
        <w:rPr>
          <w:rFonts w:hint="default" w:ascii="Arial" w:hAnsi="Arial" w:eastAsia="宋体" w:cs="Arial"/>
          <w:i w:val="0"/>
          <w:iCs w:val="0"/>
          <w:caps w:val="0"/>
          <w:color w:val="222222"/>
          <w:spacing w:val="0"/>
          <w:sz w:val="24"/>
          <w:szCs w:val="24"/>
          <w:shd w:val="clear" w:fill="FFFFFF"/>
        </w:rPr>
        <w:t>，显著高于正常组的 81.0 \, \mu mol/L（p &lt; 0.001）；与之相对应，</w:t>
      </w:r>
      <w:r>
        <w:rPr>
          <w:rStyle w:val="8"/>
          <w:rFonts w:hint="default" w:ascii="Arial" w:hAnsi="Arial" w:eastAsia="宋体" w:cs="Arial"/>
          <w:i w:val="0"/>
          <w:iCs w:val="0"/>
          <w:caps w:val="0"/>
          <w:color w:val="222222"/>
          <w:spacing w:val="0"/>
          <w:sz w:val="24"/>
          <w:szCs w:val="24"/>
          <w:shd w:val="clear" w:fill="FFFFFF"/>
        </w:rPr>
        <w:t>AKI 组的 24小时尿量中位数锐减至 850 \, mL</w:t>
      </w:r>
      <w:r>
        <w:rPr>
          <w:rFonts w:hint="default" w:ascii="Arial" w:hAnsi="Arial" w:eastAsia="宋体" w:cs="Arial"/>
          <w:i w:val="0"/>
          <w:iCs w:val="0"/>
          <w:caps w:val="0"/>
          <w:color w:val="222222"/>
          <w:spacing w:val="0"/>
          <w:sz w:val="24"/>
          <w:szCs w:val="24"/>
          <w:shd w:val="clear" w:fill="FFFFFF"/>
        </w:rPr>
        <w:t>，呈现出明显的少尿期临床特征。 同时，作为全身营养及容量负荷评估维度的</w:t>
      </w:r>
      <w:r>
        <w:rPr>
          <w:rStyle w:val="8"/>
          <w:rFonts w:hint="default" w:ascii="Arial" w:hAnsi="Arial" w:eastAsia="宋体" w:cs="Arial"/>
          <w:i w:val="0"/>
          <w:iCs w:val="0"/>
          <w:caps w:val="0"/>
          <w:color w:val="222222"/>
          <w:spacing w:val="0"/>
          <w:sz w:val="24"/>
          <w:szCs w:val="24"/>
          <w:shd w:val="clear" w:fill="FFFFFF"/>
        </w:rPr>
        <w:t>血清白蛋白（Albumin）</w:t>
      </w:r>
      <w:r>
        <w:rPr>
          <w:rFonts w:hint="default" w:ascii="Arial" w:hAnsi="Arial" w:eastAsia="宋体" w:cs="Arial"/>
          <w:i w:val="0"/>
          <w:iCs w:val="0"/>
          <w:caps w:val="0"/>
          <w:color w:val="222222"/>
          <w:spacing w:val="0"/>
          <w:sz w:val="24"/>
          <w:szCs w:val="24"/>
          <w:shd w:val="clear" w:fill="FFFFFF"/>
        </w:rPr>
        <w:t>，在 AKI 组中出现显著下降（32.1 \pm 6.1 \, g/L 对比 37.2 \pm 4.8 \, g/L, p &lt; 0.001），提示低蛋白血症诱发的肾血流灌注不足可能是导致肾损伤加剧的潜在病理网络。</w:t>
      </w:r>
    </w:p>
    <w:p w14:paraId="084550BD">
      <w:pPr>
        <w:pStyle w:val="5"/>
        <w:keepNext w:val="0"/>
        <w:keepLines w:val="0"/>
        <w:widowControl/>
        <w:suppressLineNumbers w:val="0"/>
        <w:ind w:left="720" w:right="720"/>
      </w:pPr>
      <w:r>
        <w:rPr>
          <w:rFonts w:hint="default" w:ascii="Arial" w:hAnsi="Arial" w:eastAsia="宋体" w:cs="Arial"/>
          <w:i w:val="0"/>
          <w:iCs w:val="0"/>
          <w:caps w:val="0"/>
          <w:color w:val="222222"/>
          <w:spacing w:val="0"/>
          <w:sz w:val="24"/>
          <w:szCs w:val="24"/>
          <w:shd w:val="clear" w:fill="FFFFFF"/>
        </w:rPr>
        <w:t>综上所述，表 3-1 的描述性统计明确了年龄、BMI、住院时间、血肌酐、尿量、白蛋白等特征在疾病演变中的强关联性，为第四章特征工程的“海选初步变量筛选”提供了坚实的统计学信任基础。</w:t>
      </w:r>
    </w:p>
    <w:p w14:paraId="03901835">
      <w:pPr>
        <w:pStyle w:val="2"/>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三、 </w:t>
      </w:r>
      <w:bookmarkStart w:id="0" w:name="_GoBack"/>
      <w:bookmarkEnd w:id="0"/>
      <w:r>
        <w:rPr>
          <w:rFonts w:hint="default" w:ascii="Arial" w:hAnsi="Arial" w:cs="Arial"/>
          <w:i w:val="0"/>
          <w:iCs w:val="0"/>
          <w:caps w:val="0"/>
          <w:color w:val="222222"/>
          <w:spacing w:val="0"/>
          <w:shd w:val="clear" w:fill="FFFFFF"/>
        </w:rPr>
        <w:t> 给团队（李婷等数据负责人）跑 R/Python 代码的直接建议</w:t>
      </w:r>
    </w:p>
    <w:p w14:paraId="06B1813D">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你们这周在跑这段代码时，千万不要用 Excel 一个一个手动算，这很容易算错且耗费时间。</w:t>
      </w:r>
    </w:p>
    <w:p w14:paraId="360B86F4">
      <w:pPr>
        <w:keepNext w:val="0"/>
        <w:keepLines w:val="0"/>
        <w:widowControl/>
        <w:numPr>
          <w:ilvl w:val="0"/>
          <w:numId w:val="2"/>
        </w:numPr>
        <w:suppressLineNumbers w:val="0"/>
        <w:spacing w:before="0" w:beforeAutospacing="1" w:after="0" w:afterAutospacing="1"/>
        <w:ind w:left="1440" w:hanging="360"/>
      </w:pPr>
      <w:r>
        <w:rPr>
          <w:rStyle w:val="8"/>
          <w:rFonts w:hint="default" w:ascii="Arial" w:hAnsi="Arial" w:cs="Arial"/>
          <w:i w:val="0"/>
          <w:iCs w:val="0"/>
          <w:caps w:val="0"/>
          <w:color w:val="222222"/>
          <w:spacing w:val="0"/>
          <w:sz w:val="24"/>
          <w:szCs w:val="24"/>
          <w:shd w:val="clear" w:fill="FFFFFF"/>
        </w:rPr>
        <w:t>如果你使用 R 语言</w:t>
      </w:r>
      <w:r>
        <w:rPr>
          <w:rFonts w:hint="default" w:ascii="Arial" w:hAnsi="Arial" w:cs="Arial"/>
          <w:i w:val="0"/>
          <w:iCs w:val="0"/>
          <w:caps w:val="0"/>
          <w:color w:val="222222"/>
          <w:spacing w:val="0"/>
          <w:sz w:val="24"/>
          <w:szCs w:val="24"/>
          <w:shd w:val="clear" w:fill="FFFFFF"/>
        </w:rPr>
        <w:t>：强烈推荐直接使用 </w:t>
      </w:r>
      <w:r>
        <w:rPr>
          <w:rStyle w:val="10"/>
          <w:rFonts w:hint="default" w:ascii="Arial" w:hAnsi="Arial" w:cs="Arial"/>
          <w:i w:val="0"/>
          <w:iCs w:val="0"/>
          <w:caps w:val="0"/>
          <w:color w:val="222222"/>
          <w:spacing w:val="0"/>
          <w:sz w:val="24"/>
          <w:szCs w:val="24"/>
          <w:shd w:val="clear" w:fill="FFFFFF"/>
        </w:rPr>
        <w:t>tableone</w:t>
      </w:r>
      <w:r>
        <w:rPr>
          <w:rFonts w:hint="default" w:ascii="Arial" w:hAnsi="Arial" w:cs="Arial"/>
          <w:i w:val="0"/>
          <w:iCs w:val="0"/>
          <w:caps w:val="0"/>
          <w:color w:val="222222"/>
          <w:spacing w:val="0"/>
          <w:sz w:val="24"/>
          <w:szCs w:val="24"/>
          <w:shd w:val="clear" w:fill="FFFFFF"/>
        </w:rPr>
        <w:t> 包。一键就能生成上面这种符合国际医学期刊标准的表格：</w:t>
      </w:r>
    </w:p>
    <w:p w14:paraId="73595B33">
      <w:pPr>
        <w:pStyle w:val="4"/>
        <w:keepNext w:val="0"/>
        <w:keepLines w:val="0"/>
        <w:widowControl/>
        <w:suppressLineNumbers w:val="0"/>
        <w:ind w:left="720"/>
        <w:rPr>
          <w:i w:val="0"/>
          <w:iCs w:val="0"/>
          <w:caps w:val="0"/>
          <w:color w:val="222222"/>
          <w:spacing w:val="0"/>
          <w:shd w:val="clear" w:fill="FFFFFF"/>
        </w:rPr>
      </w:pPr>
      <w:r>
        <w:rPr>
          <w:i w:val="0"/>
          <w:iCs w:val="0"/>
          <w:caps w:val="0"/>
          <w:color w:val="222222"/>
          <w:spacing w:val="0"/>
          <w:shd w:val="clear" w:fill="FFFFFF"/>
        </w:rPr>
        <w:t>library(tableone)</w:t>
      </w:r>
    </w:p>
    <w:p w14:paraId="62A53729">
      <w:pPr>
        <w:pStyle w:val="4"/>
        <w:keepNext w:val="0"/>
        <w:keepLines w:val="0"/>
        <w:widowControl/>
        <w:suppressLineNumbers w:val="0"/>
        <w:ind w:left="720"/>
        <w:rPr>
          <w:i w:val="0"/>
          <w:iCs w:val="0"/>
          <w:caps w:val="0"/>
          <w:color w:val="222222"/>
          <w:spacing w:val="0"/>
          <w:shd w:val="clear" w:fill="FFFFFF"/>
        </w:rPr>
      </w:pPr>
      <w:r>
        <w:rPr>
          <w:i w:val="0"/>
          <w:iCs w:val="0"/>
          <w:caps w:val="0"/>
          <w:color w:val="222222"/>
          <w:spacing w:val="0"/>
          <w:shd w:val="clear" w:fill="FFFFFF"/>
        </w:rPr>
        <w:t># 定义所有变量与分类变量</w:t>
      </w:r>
    </w:p>
    <w:p w14:paraId="1598738C">
      <w:pPr>
        <w:pStyle w:val="4"/>
        <w:keepNext w:val="0"/>
        <w:keepLines w:val="0"/>
        <w:widowControl/>
        <w:suppressLineNumbers w:val="0"/>
        <w:ind w:left="720"/>
        <w:rPr>
          <w:i w:val="0"/>
          <w:iCs w:val="0"/>
          <w:caps w:val="0"/>
          <w:color w:val="222222"/>
          <w:spacing w:val="0"/>
          <w:shd w:val="clear" w:fill="FFFFFF"/>
        </w:rPr>
      </w:pPr>
      <w:r>
        <w:rPr>
          <w:i w:val="0"/>
          <w:iCs w:val="0"/>
          <w:caps w:val="0"/>
          <w:color w:val="222222"/>
          <w:spacing w:val="0"/>
          <w:shd w:val="clear" w:fill="FFFFFF"/>
        </w:rPr>
        <w:t>vars &lt;- c("Age", "Gender", "BMI", "LOS", "SCr", "Urine", "Albumin")</w:t>
      </w:r>
    </w:p>
    <w:p w14:paraId="64C0F222">
      <w:pPr>
        <w:pStyle w:val="4"/>
        <w:keepNext w:val="0"/>
        <w:keepLines w:val="0"/>
        <w:widowControl/>
        <w:suppressLineNumbers w:val="0"/>
        <w:ind w:left="720"/>
        <w:rPr>
          <w:i w:val="0"/>
          <w:iCs w:val="0"/>
          <w:caps w:val="0"/>
          <w:color w:val="222222"/>
          <w:spacing w:val="0"/>
          <w:shd w:val="clear" w:fill="FFFFFF"/>
        </w:rPr>
      </w:pPr>
      <w:r>
        <w:rPr>
          <w:i w:val="0"/>
          <w:iCs w:val="0"/>
          <w:caps w:val="0"/>
          <w:color w:val="222222"/>
          <w:spacing w:val="0"/>
          <w:shd w:val="clear" w:fill="FFFFFF"/>
        </w:rPr>
        <w:t>factorVars &lt;- c("Gender")</w:t>
      </w:r>
    </w:p>
    <w:p w14:paraId="12E108F5">
      <w:pPr>
        <w:pStyle w:val="4"/>
        <w:keepNext w:val="0"/>
        <w:keepLines w:val="0"/>
        <w:widowControl/>
        <w:suppressLineNumbers w:val="0"/>
        <w:ind w:left="720"/>
        <w:rPr>
          <w:i w:val="0"/>
          <w:iCs w:val="0"/>
          <w:caps w:val="0"/>
          <w:color w:val="222222"/>
          <w:spacing w:val="0"/>
          <w:shd w:val="clear" w:fill="FFFFFF"/>
        </w:rPr>
      </w:pPr>
      <w:r>
        <w:rPr>
          <w:i w:val="0"/>
          <w:iCs w:val="0"/>
          <w:caps w:val="0"/>
          <w:color w:val="222222"/>
          <w:spacing w:val="0"/>
          <w:shd w:val="clear" w:fill="FFFFFF"/>
        </w:rPr>
        <w:t># 跑出 Table 1，指定是否发生 AKI 开启对照，并自动根据正态/偏态跑 t检验/卡方/秩和检验</w:t>
      </w:r>
    </w:p>
    <w:p w14:paraId="1A4C5A69">
      <w:pPr>
        <w:pStyle w:val="4"/>
        <w:keepNext w:val="0"/>
        <w:keepLines w:val="0"/>
        <w:widowControl/>
        <w:suppressLineNumbers w:val="0"/>
        <w:ind w:left="720"/>
        <w:rPr>
          <w:i w:val="0"/>
          <w:iCs w:val="0"/>
          <w:caps w:val="0"/>
          <w:color w:val="222222"/>
          <w:spacing w:val="0"/>
          <w:shd w:val="clear" w:fill="FFFFFF"/>
        </w:rPr>
      </w:pPr>
      <w:r>
        <w:rPr>
          <w:i w:val="0"/>
          <w:iCs w:val="0"/>
          <w:caps w:val="0"/>
          <w:color w:val="222222"/>
          <w:spacing w:val="0"/>
          <w:shd w:val="clear" w:fill="FFFFFF"/>
        </w:rPr>
        <w:t>table1 &lt;- CreateTableOne(vars = vars, strata = "AKI_Label", data = clean_df, factorVars = factorVars)</w:t>
      </w:r>
    </w:p>
    <w:p w14:paraId="5BC4F45A">
      <w:pPr>
        <w:pStyle w:val="4"/>
        <w:keepNext w:val="0"/>
        <w:keepLines w:val="0"/>
        <w:widowControl/>
        <w:suppressLineNumbers w:val="0"/>
        <w:ind w:left="720"/>
      </w:pPr>
      <w:r>
        <w:rPr>
          <w:i w:val="0"/>
          <w:iCs w:val="0"/>
          <w:caps w:val="0"/>
          <w:color w:val="222222"/>
          <w:spacing w:val="0"/>
          <w:shd w:val="clear" w:fill="FFFFFF"/>
        </w:rPr>
        <w:t>print(table1, nonnormal = c("LOS", "SCr", "Urine")) # 指定哪些变量是偏态分布</w:t>
      </w:r>
    </w:p>
    <w:p w14:paraId="25D8737A">
      <w:pPr>
        <w:keepNext w:val="0"/>
        <w:keepLines w:val="0"/>
        <w:widowControl/>
        <w:numPr>
          <w:ilvl w:val="0"/>
          <w:numId w:val="2"/>
        </w:numPr>
        <w:suppressLineNumbers w:val="0"/>
        <w:spacing w:before="0" w:beforeAutospacing="1" w:after="0" w:afterAutospacing="1"/>
        <w:ind w:left="1440" w:hanging="360"/>
      </w:pPr>
    </w:p>
    <w:p w14:paraId="265DE500">
      <w:pPr>
        <w:keepNext w:val="0"/>
        <w:keepLines w:val="0"/>
        <w:widowControl/>
        <w:numPr>
          <w:ilvl w:val="0"/>
          <w:numId w:val="2"/>
        </w:numPr>
        <w:suppressLineNumbers w:val="0"/>
        <w:spacing w:before="0" w:beforeAutospacing="1" w:after="0" w:afterAutospacing="1"/>
        <w:ind w:left="1440" w:hanging="360"/>
      </w:pPr>
      <w:r>
        <w:rPr>
          <w:rStyle w:val="8"/>
          <w:rFonts w:hint="default" w:ascii="Arial" w:hAnsi="Arial" w:cs="Arial"/>
          <w:i w:val="0"/>
          <w:iCs w:val="0"/>
          <w:caps w:val="0"/>
          <w:color w:val="222222"/>
          <w:spacing w:val="0"/>
          <w:sz w:val="24"/>
          <w:szCs w:val="24"/>
          <w:shd w:val="clear" w:fill="FFFFFF"/>
        </w:rPr>
        <w:t>如果你使用 Python</w:t>
      </w:r>
      <w:r>
        <w:rPr>
          <w:rFonts w:hint="default" w:ascii="Arial" w:hAnsi="Arial" w:cs="Arial"/>
          <w:i w:val="0"/>
          <w:iCs w:val="0"/>
          <w:caps w:val="0"/>
          <w:color w:val="222222"/>
          <w:spacing w:val="0"/>
          <w:sz w:val="24"/>
          <w:szCs w:val="24"/>
          <w:shd w:val="clear" w:fill="FFFFFF"/>
        </w:rPr>
        <w:t>：推荐使用 </w:t>
      </w:r>
      <w:r>
        <w:rPr>
          <w:rStyle w:val="10"/>
          <w:rFonts w:hint="default" w:ascii="Arial" w:hAnsi="Arial" w:cs="Arial"/>
          <w:i w:val="0"/>
          <w:iCs w:val="0"/>
          <w:caps w:val="0"/>
          <w:color w:val="222222"/>
          <w:spacing w:val="0"/>
          <w:sz w:val="24"/>
          <w:szCs w:val="24"/>
          <w:shd w:val="clear" w:fill="FFFFFF"/>
        </w:rPr>
        <w:t>tableone</w:t>
      </w:r>
      <w:r>
        <w:rPr>
          <w:rFonts w:hint="default" w:ascii="Arial" w:hAnsi="Arial" w:cs="Arial"/>
          <w:i w:val="0"/>
          <w:iCs w:val="0"/>
          <w:caps w:val="0"/>
          <w:color w:val="222222"/>
          <w:spacing w:val="0"/>
          <w:sz w:val="24"/>
          <w:szCs w:val="24"/>
          <w:shd w:val="clear" w:fill="FFFFFF"/>
        </w:rPr>
        <w:t> 第三方库：</w:t>
      </w:r>
    </w:p>
    <w:p w14:paraId="777CC2D0">
      <w:pPr>
        <w:pStyle w:val="4"/>
        <w:keepNext w:val="0"/>
        <w:keepLines w:val="0"/>
        <w:widowControl/>
        <w:suppressLineNumbers w:val="0"/>
        <w:ind w:left="720"/>
        <w:rPr>
          <w:i w:val="0"/>
          <w:iCs w:val="0"/>
          <w:caps w:val="0"/>
          <w:color w:val="222222"/>
          <w:spacing w:val="0"/>
          <w:shd w:val="clear" w:fill="FFFFFF"/>
        </w:rPr>
      </w:pPr>
      <w:r>
        <w:rPr>
          <w:i w:val="0"/>
          <w:iCs w:val="0"/>
          <w:caps w:val="0"/>
          <w:color w:val="222222"/>
          <w:spacing w:val="0"/>
          <w:shd w:val="clear" w:fill="FFFFFF"/>
        </w:rPr>
        <w:t>from tableone import TableOne</w:t>
      </w:r>
    </w:p>
    <w:p w14:paraId="02B08939">
      <w:pPr>
        <w:pStyle w:val="4"/>
        <w:keepNext w:val="0"/>
        <w:keepLines w:val="0"/>
        <w:widowControl/>
        <w:suppressLineNumbers w:val="0"/>
        <w:ind w:left="720"/>
        <w:rPr>
          <w:i w:val="0"/>
          <w:iCs w:val="0"/>
          <w:caps w:val="0"/>
          <w:color w:val="222222"/>
          <w:spacing w:val="0"/>
          <w:shd w:val="clear" w:fill="FFFFFF"/>
        </w:rPr>
      </w:pPr>
      <w:r>
        <w:rPr>
          <w:i w:val="0"/>
          <w:iCs w:val="0"/>
          <w:caps w:val="0"/>
          <w:color w:val="222222"/>
          <w:spacing w:val="0"/>
          <w:shd w:val="clear" w:fill="FFFFFF"/>
        </w:rPr>
        <w:t>columns = ['Age', 'Gender', 'BMI', 'LOS', 'SCr', 'Urine', 'Albumin', 'AKI_Label']</w:t>
      </w:r>
    </w:p>
    <w:p w14:paraId="3D080F95">
      <w:pPr>
        <w:pStyle w:val="4"/>
        <w:keepNext w:val="0"/>
        <w:keepLines w:val="0"/>
        <w:widowControl/>
        <w:suppressLineNumbers w:val="0"/>
        <w:ind w:left="720"/>
        <w:rPr>
          <w:i w:val="0"/>
          <w:iCs w:val="0"/>
          <w:caps w:val="0"/>
          <w:color w:val="222222"/>
          <w:spacing w:val="0"/>
          <w:shd w:val="clear" w:fill="FFFFFF"/>
        </w:rPr>
      </w:pPr>
      <w:r>
        <w:rPr>
          <w:i w:val="0"/>
          <w:iCs w:val="0"/>
          <w:caps w:val="0"/>
          <w:color w:val="222222"/>
          <w:spacing w:val="0"/>
          <w:shd w:val="clear" w:fill="FFFFFF"/>
        </w:rPr>
        <w:t>categorical = ['Gender']</w:t>
      </w:r>
    </w:p>
    <w:p w14:paraId="3723F1E5">
      <w:pPr>
        <w:pStyle w:val="4"/>
        <w:keepNext w:val="0"/>
        <w:keepLines w:val="0"/>
        <w:widowControl/>
        <w:suppressLineNumbers w:val="0"/>
        <w:ind w:left="720"/>
        <w:rPr>
          <w:i w:val="0"/>
          <w:iCs w:val="0"/>
          <w:caps w:val="0"/>
          <w:color w:val="222222"/>
          <w:spacing w:val="0"/>
          <w:shd w:val="clear" w:fill="FFFFFF"/>
        </w:rPr>
      </w:pPr>
      <w:r>
        <w:rPr>
          <w:i w:val="0"/>
          <w:iCs w:val="0"/>
          <w:caps w:val="0"/>
          <w:color w:val="222222"/>
          <w:spacing w:val="0"/>
          <w:shd w:val="clear" w:fill="FFFFFF"/>
        </w:rPr>
        <w:t>nonnormal = ['LOS', 'SCr', 'Urine']</w:t>
      </w:r>
    </w:p>
    <w:p w14:paraId="460B695D">
      <w:pPr>
        <w:pStyle w:val="4"/>
        <w:keepNext w:val="0"/>
        <w:keepLines w:val="0"/>
        <w:widowControl/>
        <w:suppressLineNumbers w:val="0"/>
        <w:ind w:left="720"/>
        <w:rPr>
          <w:i w:val="0"/>
          <w:iCs w:val="0"/>
          <w:caps w:val="0"/>
          <w:color w:val="222222"/>
          <w:spacing w:val="0"/>
          <w:shd w:val="clear" w:fill="FFFFFF"/>
        </w:rPr>
      </w:pPr>
      <w:r>
        <w:rPr>
          <w:i w:val="0"/>
          <w:iCs w:val="0"/>
          <w:caps w:val="0"/>
          <w:color w:val="222222"/>
          <w:spacing w:val="0"/>
          <w:shd w:val="clear" w:fill="FFFFFF"/>
        </w:rPr>
        <w:t>groupby = 'AKI_Label'</w:t>
      </w:r>
    </w:p>
    <w:p w14:paraId="6AEC8FF3">
      <w:pPr>
        <w:pStyle w:val="4"/>
        <w:keepNext w:val="0"/>
        <w:keepLines w:val="0"/>
        <w:widowControl/>
        <w:suppressLineNumbers w:val="0"/>
        <w:ind w:left="720"/>
        <w:rPr>
          <w:i w:val="0"/>
          <w:iCs w:val="0"/>
          <w:caps w:val="0"/>
          <w:color w:val="222222"/>
          <w:spacing w:val="0"/>
          <w:shd w:val="clear" w:fill="FFFFFF"/>
        </w:rPr>
      </w:pPr>
      <w:r>
        <w:rPr>
          <w:i w:val="0"/>
          <w:iCs w:val="0"/>
          <w:caps w:val="0"/>
          <w:color w:val="222222"/>
          <w:spacing w:val="0"/>
          <w:shd w:val="clear" w:fill="FFFFFF"/>
        </w:rPr>
        <w:t>mytable = TableOne(df, columns=columns, categorical=categorical, nonnormal=nonnormal, groupby=groupby, pval=True)</w:t>
      </w:r>
    </w:p>
    <w:p w14:paraId="6348C998">
      <w:pPr>
        <w:pStyle w:val="4"/>
        <w:keepNext w:val="0"/>
        <w:keepLines w:val="0"/>
        <w:widowControl/>
        <w:suppressLineNumbers w:val="0"/>
        <w:ind w:left="720"/>
      </w:pPr>
      <w:r>
        <w:rPr>
          <w:i w:val="0"/>
          <w:iCs w:val="0"/>
          <w:caps w:val="0"/>
          <w:color w:val="222222"/>
          <w:spacing w:val="0"/>
          <w:shd w:val="clear" w:fill="FFFFFF"/>
        </w:rPr>
        <w:t>print(mytable.tabulate(tablefmt="github"))</w:t>
      </w:r>
    </w:p>
    <w:p w14:paraId="3E0A65B7">
      <w:pPr>
        <w:keepNext w:val="0"/>
        <w:keepLines w:val="0"/>
        <w:widowControl/>
        <w:numPr>
          <w:ilvl w:val="0"/>
          <w:numId w:val="2"/>
        </w:numPr>
        <w:suppressLineNumbers w:val="0"/>
        <w:spacing w:before="0" w:beforeAutospacing="1" w:after="0" w:afterAutospacing="1"/>
        <w:ind w:left="1440" w:hanging="360"/>
      </w:pPr>
    </w:p>
    <w:p w14:paraId="4F532C8D">
      <w:pPr>
        <w:pStyle w:val="5"/>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你们组目前拿到清洗后的第一版数据了吗？如果代码运行过程中遇到了格式报错、或者不确定哪些实验室指标算偏态分布，随时发给我，我们立刻在线 Debug 把它跑出来！</w:t>
      </w:r>
    </w:p>
    <w:p w14:paraId="2A314D7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E25678"/>
    <w:multiLevelType w:val="multilevel"/>
    <w:tmpl w:val="AAE256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45E8E759"/>
    <w:multiLevelType w:val="multilevel"/>
    <w:tmpl w:val="45E8E7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A652F5"/>
    <w:rsid w:val="6AA652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2026-07-05T16:13:00Z</dcterms:created>
  <dc:creator>蓝可</dc:creator>
  <cp:lastModifiedBy>蓝可</cp:lastModifiedBy>
  <dcterms:modified xsi:type="dcterms:W3CDTF">2026-07-05T16:13:50Z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2A43F7F6AA674D5480CE1CDB8741B2F0_11</vt:lpwstr>
  </property>
  <property fmtid="{D5CDD505-2E9C-101B-9397-08002B2CF9AE}" pid="4" name="KSOTemplateDocerSaveRecord">
    <vt:lpwstr>eyJoZGlkIjoiMzZmZWQ0NzlmMTllNzlkZGU0NjViNGZhZTgxNzc3NjUiLCJ1c2VySWQiOiIxNzk3MzI3NTg1In0=</vt:lpwstr>
  </property>
</Properties>
</file>