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C7382">
      <w:pPr>
        <w:pStyle w:val="2"/>
        <w:bidi w:val="0"/>
        <w:jc w:val="center"/>
      </w:pPr>
      <w:r>
        <w:rPr>
          <w:rFonts w:hint="default"/>
        </w:rPr>
        <w:t>数据字典</w:t>
      </w:r>
    </w:p>
    <w:p w14:paraId="199B3A92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eastAsia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  <w:lang w:val="en-US" w:eastAsia="zh-CN"/>
        </w:rPr>
        <w:t>一．</w:t>
      </w:r>
      <w:bookmarkStart w:id="0" w:name="_GoBack"/>
      <w:bookmarkEnd w:id="0"/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数据字典（Data Dictionary）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，在数据科学和医学统计项目中，简单来说就是**“数据集的说明书”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或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“代码与现实世界的翻译官”**。</w:t>
      </w:r>
    </w:p>
    <w:p w14:paraId="4B68829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在医院导出的原始Excel或数据库中，由于计算机存储的需要，列名往往是缩写、英文、或者让人摸不着头脑的代码（比如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SCr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Urine_24h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,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gender_code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），同时很多分类变量也会用数字代替（比如性别一列里，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代表男，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2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代表女；是否发生AKI一列里，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代表没有，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代表发生了）。</w:t>
      </w:r>
    </w:p>
    <w:p w14:paraId="4B4F64FD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如果直接把这样的原始表格拿去建模或写论文，团队成员会看晕，评委也看不懂。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数据字典就是一张专门的表格，用来清清楚楚地定义数据集中每一列（每一个变量）的含义、数据类型、取值范围以及临床意义。</w:t>
      </w:r>
    </w:p>
    <w:p w14:paraId="41B95631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二、 结合你们的 AKI 暑期项目，数据字典长什么样？</w:t>
      </w:r>
    </w:p>
    <w:p w14:paraId="634DC5A1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根据你们第一周的规划（“数据负责人完成数据字典”），你们需要为这个 AKI 预警项目产出一张清晰的 Excel 表格。结合去年的获奖报告规范，你们的数据字典应该包含以下核心维度：</w:t>
      </w:r>
    </w:p>
    <w:p w14:paraId="7BEEC0E5">
      <w:pPr>
        <w:pStyle w:val="4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drawing>
          <wp:inline distT="0" distB="0" distL="114300" distR="114300">
            <wp:extent cx="685800" cy="685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你们的 AKI 项目数据字典示例模板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3"/>
        <w:gridCol w:w="918"/>
        <w:gridCol w:w="1150"/>
        <w:gridCol w:w="1457"/>
        <w:gridCol w:w="1517"/>
        <w:gridCol w:w="1211"/>
      </w:tblGrid>
      <w:tr w14:paraId="39295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88C18F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变量英文名 (Column Name)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AAA0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变量中文名 (Label)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1EDB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数据类型 (Type)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7963D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取值含义/单位 (Value/Unit)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F5C6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缺失值处理策略 (Imputation)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9D95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临床意义说明 (Clinical Note)</w:t>
            </w:r>
          </w:p>
        </w:tc>
      </w:tr>
      <w:tr w14:paraId="3929C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38B25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PATIENT_ID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E51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患者唯一识别码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4843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字符型 (String)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1925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无特定含义，脱敏后的编号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FABB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不允许缺失，缺失则剔除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351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用于多源数据融合时的基准对齐</w:t>
            </w:r>
          </w:p>
        </w:tc>
      </w:tr>
      <w:tr w14:paraId="53A4F2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383CF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D3A2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患者年龄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18D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数值型 (Numeric)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8EE3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岁 (Years)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F1F8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均值填充 / 删失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3DA7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高龄是 AKI 的独立危险因素（第3周重点分析）</w:t>
            </w:r>
          </w:p>
        </w:tc>
      </w:tr>
      <w:tr w14:paraId="2F1A7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C72EE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GENDER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B34D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性别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A2D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分类/因子 (Factor)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A50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女性, </w:t>
            </w: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男性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B74B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众数填充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AEB94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建立 Table 1 时用于人口学基线描述</w:t>
            </w:r>
          </w:p>
        </w:tc>
      </w:tr>
      <w:tr w14:paraId="191BC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6BD6776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BASE_SCR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9125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基线血肌酐值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3D2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数值型 (Numeric)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BA6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\mu mol/L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B08B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中位数填充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D701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评估患者入院前的基础肾功能</w:t>
            </w:r>
          </w:p>
        </w:tc>
      </w:tr>
      <w:tr w14:paraId="08783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3C3FB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PEAK_SCR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050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住院期间最高血肌酐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F1C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数值型 (Numeric)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CA7B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\mu mol/L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A319C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不允许缺失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172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与基线血肌酐对比，用于判定是否触发 AKI</w:t>
            </w:r>
          </w:p>
        </w:tc>
      </w:tr>
      <w:tr w14:paraId="64C6E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F2E7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URINE_OUTPUT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84E1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24小时尿量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51A71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数值型 (Numeric)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615D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mL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87FB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回归插补 / 均值填充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10AD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直接反映肾小球滤过率的临床核心动态指标</w:t>
            </w:r>
          </w:p>
        </w:tc>
      </w:tr>
      <w:tr w14:paraId="1862C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161E2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ALBUMIN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4D5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血清白蛋白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6E90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数值型 (Numeric)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A72A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g/L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343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多重插补法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BE9F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反映全身营养及急性期炎症状态</w:t>
            </w:r>
          </w:p>
        </w:tc>
      </w:tr>
      <w:tr w14:paraId="7DD1D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44FD5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NEPHRO_DRUGS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349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肾毒性药物暴露史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389B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二分类 (Binary)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3A7E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否, </w:t>
            </w: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F8A0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默认填 </w:t>
            </w: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（视为未暴露）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4FE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包含造影剂、氨基糖苷类抗生素等高危用药史</w:t>
            </w:r>
          </w:p>
        </w:tc>
      </w:tr>
      <w:tr w14:paraId="325FA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79001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HYPERTENSION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25B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是否患高血压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C7CB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二分类 (Binary)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07EF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否, </w:t>
            </w: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466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默认填 </w:t>
            </w: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D6C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伴随基础疾病，属于多源数据中的病历信息</w:t>
            </w:r>
          </w:p>
        </w:tc>
      </w:tr>
      <w:tr w14:paraId="05439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D808E5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AKI_LABEL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3E2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是否发生AKI (目标变量)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E6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二分类 (Binary)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7088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未发生, </w:t>
            </w:r>
            <w:r>
              <w:rPr>
                <w:rStyle w:val="9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 = 发生 AKI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53B5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Style w:val="8"/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绝对不允许缺失</w:t>
            </w: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（标签列）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9727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22222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22222"/>
                <w:spacing w:val="0"/>
                <w:kern w:val="0"/>
                <w:sz w:val="24"/>
                <w:szCs w:val="24"/>
                <w:lang w:val="en-US" w:eastAsia="zh-CN" w:bidi="ar"/>
              </w:rPr>
              <w:t>模型预测的最终目标（Y值），对应KDIGO临床诊断标准</w:t>
            </w:r>
          </w:p>
        </w:tc>
      </w:tr>
    </w:tbl>
    <w:p w14:paraId="465282A8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hd w:val="clear" w:fill="FFFFFF"/>
        </w:rPr>
        <w:t>三、 数据字典在你们整个报告/项目里有什么用？（为什么第一周必须做）</w:t>
      </w:r>
    </w:p>
    <w:p w14:paraId="4818108C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在你们5周的整体技术路线中，数据字典绝不是一个形式主义的表格，它是贯穿始终的“地基”：</w:t>
      </w:r>
    </w:p>
    <w:p w14:paraId="00A665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 1 周：指导数据清洗与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Table 1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的建立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数据负责人（李婷）在写 Python/R 的清洗代码时，必须对照数据字典。比如看到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GENDER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列里有乱码或者超出了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0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和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的范围，就要判定为异常值并进行剔除。同时，做描述性统计（患者年龄、BMI、住院时间分布）形成论文第一章的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Table 1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时，图表的表头名称直接拷贝数据字典里的中文名。</w:t>
      </w:r>
    </w:p>
    <w:p w14:paraId="4BDAE5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 2 周：指导特征工程与类别平衡（SMOTE）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建模负责人（梁日娇）在做模型训练前，需要根据数据字典把“分类变量”（如性别、用药史、疾病史）在代码里转换成 </w:t>
      </w:r>
      <w:r>
        <w:rPr>
          <w:rStyle w:val="9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Factor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（因子型）或进行 One-Hot 编码，而对“数值型变量”（如Cr、尿量）进行标准化处理。</w:t>
      </w:r>
    </w:p>
    <w:p w14:paraId="20955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第 3-4 周：Web端开发接口规范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开发负责人（王若兮）要在前端网页上设计“输入患者信息”的表单。</w:t>
      </w: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前端表单的每个输入框的限制条件，完全来源于数据字典。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 比如数据字典规定“年龄”必须是正整数，“24小时尿量”不能为负数，网页前端就会据此做输入合法性校验。</w:t>
      </w:r>
    </w:p>
    <w:p w14:paraId="4FF85438">
      <w:pPr>
        <w:pStyle w:val="5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Style w:val="8"/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一句话总结</w:t>
      </w:r>
      <w:r>
        <w:rPr>
          <w:rFonts w:hint="default" w:ascii="Arial" w:hAnsi="Arial" w:cs="Arial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：数据字典就是把一堆乱七八糟、充满专业缩写的医院原始数据，规范化成**“团队每个人都能看懂、代码能够直接读取、论文能直接引用”**的标准化核心资产。完成了它，你们第一周的“数据治理”任务才算真正落地。</w:t>
      </w:r>
    </w:p>
    <w:p w14:paraId="477D7D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3CE92F"/>
    <w:multiLevelType w:val="multilevel"/>
    <w:tmpl w:val="D93CE9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406D4B"/>
    <w:rsid w:val="3040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2026-07-05T15:48:00Z</dcterms:created>
  <dc:creator>蓝可</dc:creator>
  <cp:lastModifiedBy>蓝可</cp:lastModifiedBy>
  <dcterms:modified xsi:type="dcterms:W3CDTF">2026-07-05T15:49:52Z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6DE179D4F5834329B1F6240E4EDC3E6B_11</vt:lpwstr>
  </property>
  <property fmtid="{D5CDD505-2E9C-101B-9397-08002B2CF9AE}" pid="4" name="KSOTemplateDocerSaveRecord">
    <vt:lpwstr>eyJoZGlkIjoiMzZmZWQ0NzlmMTllNzlkZGU0NjViNGZhZTgxNzc3NjUiLCJ1c2VySWQiOiIxNzk3MzI3NTg1In0=</vt:lpwstr>
  </property>
</Properties>
</file>