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47427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本框架完全对齐了数据处理、统计分析、算法多模型对比、超参数调优（如交叉验证）以及最终的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自动化预测/智能体（Agent）部署模块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280020AD">
      <w:pPr>
        <w:pStyle w:val="2"/>
        <w:bidi w:val="0"/>
        <w:rPr>
          <w:rFonts w:hint="eastAsia"/>
          <w:lang w:val="en-US" w:eastAsia="zh-CN"/>
        </w:rPr>
      </w:pPr>
      <w:r>
        <w:t>基于多源医疗数据融合的社区急性肾损伤（AKI）</w:t>
      </w:r>
      <w:r>
        <w:rPr>
          <w:rFonts w:hint="default"/>
        </w:rPr>
        <w:t>早期风险分层预测与智能预警系统</w:t>
      </w:r>
      <w:r>
        <w:rPr>
          <w:rFonts w:hint="eastAsia"/>
          <w:lang w:val="en-US" w:eastAsia="zh-CN"/>
        </w:rPr>
        <w:t>研究报告</w:t>
      </w:r>
      <w:bookmarkStart w:id="0" w:name="_GoBack"/>
      <w:bookmarkEnd w:id="0"/>
    </w:p>
    <w:p w14:paraId="07D5727E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一、 绪论与项目背景 (Introduction &amp; Background)</w:t>
      </w:r>
    </w:p>
    <w:p w14:paraId="27400E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1.1 研究背景与临床意义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：急性肾损伤（AKI）的发病机制、临床高危性以及早期筛查的紧迫性。</w:t>
      </w:r>
    </w:p>
    <w:p w14:paraId="08CF9B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1.2 国内外研究现状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：传统生物标志物与临床量表的局限性，机器学习/深度学习在重症及慢性病预警中的应用进展。</w:t>
      </w:r>
    </w:p>
    <w:p w14:paraId="7BA5C3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1.3 项目核心研究内容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：结合临床多模态数据，构建高精度 AKI 风险早期预测模型。</w:t>
      </w:r>
    </w:p>
    <w:p w14:paraId="5897CF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1.4 大创项目时间规划与里程碑回顾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：（此处融入团队的具体执行时间线）</w:t>
      </w:r>
    </w:p>
    <w:p w14:paraId="023B369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第一阶段（启动与筹备）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：文献调研、伦理审批、确定多指标临床特征。</w:t>
      </w:r>
    </w:p>
    <w:p w14:paraId="36E152D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第二阶段（数据清洗与治理）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：多中心/单中心临床数据脱敏、缺失值处理、特征对齐。</w:t>
      </w:r>
    </w:p>
    <w:p w14:paraId="77F46DC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第三阶段（模型研发与调优）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：算法选型、高维特征工程、5折交叉验证参数优化。</w:t>
      </w:r>
    </w:p>
    <w:p w14:paraId="71D963A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第四阶段（系统集成与结项）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：多维度模型评价、预测 RDS 模型封装、智能体（Agent）辅助诊疗应用落地。</w:t>
      </w:r>
    </w:p>
    <w:p w14:paraId="076BF1A1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二、 临床数据获取与特征工程 (Data Acquisition &amp; Feature Engineering)</w:t>
      </w:r>
    </w:p>
    <w:p w14:paraId="55E680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2.1 数据来源与隐私保护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：协作医院临床电子病历（EHR）数据提取，数据脱敏（Anonymization）合规性说明。</w:t>
      </w:r>
    </w:p>
    <w:p w14:paraId="48B2DA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2.2 样本分布与多模态特征汇总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</w:p>
    <w:p w14:paraId="7B292AA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有效样本总例数（如：AKI 患者组 vs. 正常/非 AKI 组分布）。</w:t>
      </w:r>
    </w:p>
    <w:p w14:paraId="38E5DCE3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特征字典：基线人口学特征（年龄、性别）、生命体征、实验室指标（血肌酐 SCr、尿素氮 BUN、电解质等）、24小时尿量等。</w:t>
      </w:r>
    </w:p>
    <w:p w14:paraId="31585F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2.3 数据的结构化探索与处理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</w:p>
    <w:p w14:paraId="106C93A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多时点缺失值填充策略（均值/中位数/多重插补法）。</w:t>
      </w:r>
    </w:p>
    <w:p w14:paraId="49C20E9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数据对齐与一致性检查。</w:t>
      </w:r>
    </w:p>
    <w:p w14:paraId="0368387F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三、 数据探索性统计分析 (Exploratory Data Analysis, EDA)</w:t>
      </w:r>
    </w:p>
    <w:p w14:paraId="456E2A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3.1 单特征临床关联性分析（箱线图/抖动图）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</w:p>
    <w:p w14:paraId="19CAB44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对比 AKI 组与非 AKI 组在核心实验室指标（如 SCr 变化率）上的分布差异，验证单个特征的统计学显著性。</w:t>
      </w:r>
    </w:p>
    <w:p w14:paraId="1BD897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3.2 多特征协同与相关性分析（热力图）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</w:p>
    <w:p w14:paraId="4F37967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通过皮尔逊/斯皮尔曼相关系数矩阵，分析高维临床特征间的共线性及代谢紊乱扰动规律。</w:t>
      </w:r>
    </w:p>
    <w:p w14:paraId="326F8FC0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阐述多指标协同作用对判别 AKI 风险的潜在依据。</w:t>
      </w:r>
    </w:p>
    <w:p w14:paraId="1FCCB749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四、 AKI 风险预测机器学习模型构建与代码拆解 (Model Construction &amp; R/Python Code Dissection)</w:t>
      </w:r>
    </w:p>
    <w:p w14:paraId="014C65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4.1 环境初始化与依赖加载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</w:p>
    <w:p w14:paraId="025AE07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核心机器学习及可视化工具链加载说明（如 </w:t>
      </w:r>
      <w:r>
        <w:rPr>
          <w:rStyle w:val="10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randomForest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、</w:t>
      </w:r>
      <w:r>
        <w:rPr>
          <w:rStyle w:val="10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pROC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、</w:t>
      </w:r>
      <w:r>
        <w:rPr>
          <w:rStyle w:val="10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caret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、</w:t>
      </w:r>
      <w:r>
        <w:rPr>
          <w:rStyle w:val="10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xgboost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等）。</w:t>
      </w:r>
    </w:p>
    <w:p w14:paraId="761CB20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4.2 数据分层划分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</w:p>
    <w:p w14:paraId="07F106BB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按 7:3 比例严格执行基于标签分层的训练集与测试集拆分。</w:t>
      </w:r>
    </w:p>
    <w:p w14:paraId="73658B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4.3 多模型横向算法选型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</w:p>
    <w:p w14:paraId="78E23821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集成学习算法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：随机森林（Random Forest）、XGBoost、LightGBM。</w:t>
      </w:r>
    </w:p>
    <w:p w14:paraId="480765C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传统经典机器学习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：支持向量机（SVM）。</w:t>
      </w:r>
    </w:p>
    <w:p w14:paraId="445BD3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4.4 参数优化与 5 折交叉验证（网格搜索）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</w:p>
    <w:p w14:paraId="7FEA062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以 ROC-AUC 为优化目标，对核心超参数（如随机森林的 </w:t>
      </w:r>
      <w:r>
        <w:rPr>
          <w:rStyle w:val="10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mtry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、决策树数量 </w:t>
      </w:r>
      <w:r>
        <w:rPr>
          <w:rStyle w:val="10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ntree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）进行动态网格搜索的调优逻辑。</w:t>
      </w:r>
    </w:p>
    <w:p w14:paraId="78D345BC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五、 多维度模型评价与临床效能对比 (Model Evaluation &amp; Performance Comparison)</w:t>
      </w:r>
    </w:p>
    <w:p w14:paraId="569FE37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5.1 核心评估指标对比表（Model Performance Summary）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</w:p>
    <w:p w14:paraId="529F26D8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横向对比四种算法的：准确率（Accuracy）、精确率（Precision）、召回率（Recall/敏感性）、F1-Score、AUC 值。</w:t>
      </w:r>
    </w:p>
    <w:p w14:paraId="117B6F3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5.2 最优模型（如随机森林）的深度解构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</w:p>
    <w:p w14:paraId="123DDAB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混淆矩阵热力图分析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：定量评估漏诊率（假阴性）与误诊率（假阳性），突出临床应用的安全性。</w:t>
      </w:r>
    </w:p>
    <w:p w14:paraId="7180FDD9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ROC 曲线及 AUC 面积解读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：分析曲线陡峭度，论证模型在不同临床判别阈值下的灵活适应性。</w:t>
      </w:r>
    </w:p>
    <w:p w14:paraId="5370AC5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超参数收敛过程分析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：交叉验证 AUC 变化折线图展示。</w:t>
      </w:r>
    </w:p>
    <w:p w14:paraId="344E7C6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5.3 临床特征重要性（Feature Importance）分析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</w:p>
    <w:p w14:paraId="7E480753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特征重要性热图/条形图，识别出对 AKI 预测贡献度最高的 Top 关键临床指标，提供可解释性的医学洞察。</w:t>
      </w:r>
    </w:p>
    <w:p w14:paraId="25C316E6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六、 AKI 风险自动化预测模块与智能辅助诊断落地 (Model Deployment &amp; AI Agent)</w:t>
      </w:r>
    </w:p>
    <w:p w14:paraId="14EC3D8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6.1 预测核心计算引擎设计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</w:p>
    <w:p w14:paraId="2EE346EF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对训练完毕的最优模型进行持久化保存（</w:t>
      </w:r>
      <w:r>
        <w:rPr>
          <w:rStyle w:val="10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.rds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或 </w:t>
      </w:r>
      <w:r>
        <w:rPr>
          <w:rStyle w:val="10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.pkl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格式），设计低耦合的独立预测脚本。</w:t>
      </w:r>
    </w:p>
    <w:p w14:paraId="4FD82B2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6.2 新输入临床数据的数据校验与容错机制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</w:p>
    <w:p w14:paraId="743A3069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自动化缺失值填充、列名一致性强制对齐、非数值型特征清洗。</w:t>
      </w:r>
    </w:p>
    <w:p w14:paraId="354F266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6.3 风险概率输出与分级解读系统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</w:p>
    <w:p w14:paraId="685C161A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将模型输出的连续型患病概率（Disease Probability）转化为直观的“高风险/低风险”临床预警标签。</w:t>
      </w:r>
    </w:p>
    <w:p w14:paraId="32714BF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6.4 智能诊疗助手（Agent）转化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</w:t>
      </w:r>
    </w:p>
    <w:p w14:paraId="1C54607E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结合大模型技术与底层机器学习预测引擎，封装为“AKI 英文/中文临床解释智能体（Agent）”，实现“数据输入-模型预测-大模型生成临床报告建议”的一体化落地。</w:t>
      </w:r>
    </w:p>
    <w:p w14:paraId="2ADEDB8A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七、 结论与展望 (Conclusion &amp; Future Work)</w:t>
      </w:r>
    </w:p>
    <w:p w14:paraId="1A6B89F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7.1 项目成果总结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：成功验证了多指标临床数据与 AKI 风险的量化关联，构建了高性能算法并实现了智能体转化。</w:t>
      </w:r>
    </w:p>
    <w:p w14:paraId="0745C8D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7.2 创新点与社会效益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：非侵入式/常规血液指标的早期秒级预警，对重症监护及术后并发症防范具有实际经济与医学价值。</w:t>
      </w:r>
    </w:p>
    <w:p w14:paraId="5CBA71F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7.3 研究局限性与下一步计划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：多中心外部验证的缺乏、时序动态数据的引入（如循环神经网络 LSTM 的后续尝试）。</w:t>
      </w:r>
    </w:p>
    <w:p w14:paraId="60F4838C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给团队的排版与写作建议：</w:t>
      </w:r>
    </w:p>
    <w:p w14:paraId="52E9169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代码部分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：在第四、第六章节中，可以像参考报告那样，保留最关键的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模块化伪代码或核心 R/Python 代码段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（加上详细的中文注释），这在大创结题评审中非常加分，能够证明工作是团队原创且落地的。</w:t>
      </w:r>
    </w:p>
    <w:p w14:paraId="367A90B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可视化呼应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：确保你的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箱线图、相关性热图、混淆矩阵、ROC 曲线、特征重要性图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在后文有深入的文字逻辑呼应，做到“逢图必读，图字结合”。</w:t>
      </w:r>
    </w:p>
    <w:p w14:paraId="0271E1C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602A71"/>
    <w:multiLevelType w:val="multilevel"/>
    <w:tmpl w:val="8C602A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FA50FA2"/>
    <w:multiLevelType w:val="multilevel"/>
    <w:tmpl w:val="8FA50F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1AE6A4C"/>
    <w:multiLevelType w:val="multilevel"/>
    <w:tmpl w:val="A1AE6A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AFBBFFC"/>
    <w:multiLevelType w:val="multilevel"/>
    <w:tmpl w:val="CAFBBF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07E5073"/>
    <w:multiLevelType w:val="multilevel"/>
    <w:tmpl w:val="F07E50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9CDB861"/>
    <w:multiLevelType w:val="multilevel"/>
    <w:tmpl w:val="09CDB8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C6E5F6F"/>
    <w:multiLevelType w:val="multilevel"/>
    <w:tmpl w:val="0C6E5F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3AAF8F9"/>
    <w:multiLevelType w:val="multilevel"/>
    <w:tmpl w:val="53AAF8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7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8F1BC4"/>
    <w:rsid w:val="718F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2026-07-05T15:11:00Z</dcterms:created>
  <dc:creator>蓝可</dc:creator>
  <cp:lastModifiedBy>蓝可</cp:lastModifiedBy>
  <dcterms:modified xsi:type="dcterms:W3CDTF">2026-07-05T15:14:07Z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65F3E01F91D8482B81873A8A0DA92DB5_11</vt:lpwstr>
  </property>
  <property fmtid="{D5CDD505-2E9C-101B-9397-08002B2CF9AE}" pid="4" name="KSOTemplateDocerSaveRecord">
    <vt:lpwstr>eyJoZGlkIjoiMzZmZWQ0NzlmMTllNzlkZGU0NjViNGZhZTgxNzc3NjUiLCJ1c2VySWQiOiIxNzk3MzI3NTg1In0=</vt:lpwstr>
  </property>
</Properties>
</file>