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6717D">
      <w:pPr>
        <w:pStyle w:val="5"/>
        <w:keepNext w:val="0"/>
        <w:keepLines w:val="0"/>
        <w:widowControl/>
        <w:suppressLineNumbers w:val="0"/>
        <w:shd w:val="clear" w:fill="FFFFFF"/>
        <w:ind w:left="0" w:firstLine="0"/>
        <w:rPr>
          <w:rFonts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在医学预测模型论文中，</w:t>
      </w:r>
      <w:r>
        <w:rPr>
          <w:rStyle w:val="8"/>
          <w:rFonts w:hint="default" w:ascii="Arial" w:hAnsi="Arial" w:cs="Arial"/>
          <w:i w:val="0"/>
          <w:iCs w:val="0"/>
          <w:caps w:val="0"/>
          <w:color w:val="222222"/>
          <w:spacing w:val="0"/>
          <w:sz w:val="24"/>
          <w:szCs w:val="24"/>
          <w:shd w:val="clear" w:fill="FFFFFF"/>
        </w:rPr>
        <w:t>“AKI 发生率统计与流行病学分析”通常是紧跟在 Table 1 基线描述之后的重要子章节。这一部分的作用是深度剖析目标 Y 标签（AKI 发生）在研究样本中的整体分布，并从“多维暴露因素”的角度进行切片观察</w:t>
      </w:r>
      <w:r>
        <w:rPr>
          <w:rFonts w:hint="default" w:ascii="Arial" w:hAnsi="Arial" w:cs="Arial"/>
          <w:i w:val="0"/>
          <w:iCs w:val="0"/>
          <w:caps w:val="0"/>
          <w:color w:val="222222"/>
          <w:spacing w:val="0"/>
          <w:sz w:val="24"/>
          <w:szCs w:val="24"/>
          <w:shd w:val="clear" w:fill="FFFFFF"/>
        </w:rPr>
        <w:t>。</w:t>
      </w:r>
    </w:p>
    <w:p w14:paraId="7553630F">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这不仅能够向评审专家展示你们对临床背景的深刻洞察，同时也能通过数据直接印证后面的机器学习模型（如随机森林）为什么将某些特定变量（如年龄、基础病）判定为高贡献度特征。</w:t>
      </w:r>
    </w:p>
    <w:p w14:paraId="795A86DB">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结合去年的获奖报告规范与你们的暑期数创进度，我为你们撰写了这一章节的</w:t>
      </w:r>
      <w:r>
        <w:rPr>
          <w:rStyle w:val="8"/>
          <w:rFonts w:hint="default" w:ascii="Arial" w:hAnsi="Arial" w:cs="Arial"/>
          <w:i w:val="0"/>
          <w:iCs w:val="0"/>
          <w:caps w:val="0"/>
          <w:color w:val="222222"/>
          <w:spacing w:val="0"/>
          <w:sz w:val="24"/>
          <w:szCs w:val="24"/>
          <w:shd w:val="clear" w:fill="FFFFFF"/>
        </w:rPr>
        <w:t>报告正文框架、统计表单设计、深度医学解读以及可视化建议</w:t>
      </w:r>
      <w:r>
        <w:rPr>
          <w:rFonts w:hint="default" w:ascii="Arial" w:hAnsi="Arial" w:cs="Arial"/>
          <w:i w:val="0"/>
          <w:iCs w:val="0"/>
          <w:caps w:val="0"/>
          <w:color w:val="222222"/>
          <w:spacing w:val="0"/>
          <w:sz w:val="24"/>
          <w:szCs w:val="24"/>
          <w:shd w:val="clear" w:fill="FFFFFF"/>
        </w:rPr>
        <w:t>：</w:t>
      </w:r>
    </w:p>
    <w:p w14:paraId="299CA5CC">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一、 报告正文模块：3.2 AKI 总体发生率与临床流行病学特征分析</w:t>
      </w:r>
    </w:p>
    <w:p w14:paraId="2701CE5E">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1. 总体发生率分析 (Overall Incidence)</w:t>
      </w:r>
    </w:p>
    <w:p w14:paraId="2D048844">
      <w:pPr>
        <w:keepNext w:val="0"/>
        <w:keepLines w:val="0"/>
        <w:widowControl/>
        <w:numPr>
          <w:ilvl w:val="0"/>
          <w:numId w:val="1"/>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数据统计</w:t>
      </w:r>
      <w:r>
        <w:rPr>
          <w:rFonts w:hint="default" w:ascii="Arial" w:hAnsi="Arial" w:cs="Arial"/>
          <w:i w:val="0"/>
          <w:iCs w:val="0"/>
          <w:caps w:val="0"/>
          <w:color w:val="222222"/>
          <w:spacing w:val="0"/>
          <w:sz w:val="24"/>
          <w:szCs w:val="24"/>
          <w:shd w:val="clear" w:fill="FFFFFF"/>
        </w:rPr>
        <w:t>：明确说明样本总数中发生 AKI 的实际人数及百分比（如总计 3000 例，400 例发生 AKI，发生率为 </w:t>
      </w:r>
      <w:r>
        <w:rPr>
          <w:rStyle w:val="8"/>
          <w:rFonts w:hint="default" w:ascii="Arial" w:hAnsi="Arial" w:cs="Arial"/>
          <w:i w:val="0"/>
          <w:iCs w:val="0"/>
          <w:caps w:val="0"/>
          <w:color w:val="222222"/>
          <w:spacing w:val="0"/>
          <w:sz w:val="24"/>
          <w:szCs w:val="24"/>
          <w:shd w:val="clear" w:fill="FFFFFF"/>
        </w:rPr>
        <w:t>13.33%</w:t>
      </w:r>
      <w:r>
        <w:rPr>
          <w:rFonts w:hint="default" w:ascii="Arial" w:hAnsi="Arial" w:cs="Arial"/>
          <w:i w:val="0"/>
          <w:iCs w:val="0"/>
          <w:caps w:val="0"/>
          <w:color w:val="222222"/>
          <w:spacing w:val="0"/>
          <w:sz w:val="24"/>
          <w:szCs w:val="24"/>
          <w:shd w:val="clear" w:fill="FFFFFF"/>
        </w:rPr>
        <w:t>）。</w:t>
      </w:r>
    </w:p>
    <w:p w14:paraId="01AD649F">
      <w:pPr>
        <w:keepNext w:val="0"/>
        <w:keepLines w:val="0"/>
        <w:widowControl/>
        <w:numPr>
          <w:ilvl w:val="0"/>
          <w:numId w:val="1"/>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正文拟写模板</w:t>
      </w:r>
      <w:r>
        <w:rPr>
          <w:rFonts w:hint="default" w:ascii="Arial" w:hAnsi="Arial" w:cs="Arial"/>
          <w:i w:val="0"/>
          <w:iCs w:val="0"/>
          <w:caps w:val="0"/>
          <w:color w:val="222222"/>
          <w:spacing w:val="0"/>
          <w:sz w:val="24"/>
          <w:szCs w:val="24"/>
          <w:shd w:val="clear" w:fill="FFFFFF"/>
        </w:rPr>
        <w:t>：</w:t>
      </w:r>
    </w:p>
    <w:p w14:paraId="11DF4AAC">
      <w:pPr>
        <w:pStyle w:val="5"/>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“本研究最终纳入的 3000 例住院患者中，共有 400 例在住院期间触发了 AKI 预警标签，</w:t>
      </w:r>
      <w:r>
        <w:rPr>
          <w:rStyle w:val="8"/>
          <w:rFonts w:hint="eastAsia" w:ascii="宋体" w:hAnsi="宋体" w:eastAsia="宋体" w:cs="宋体"/>
          <w:i w:val="0"/>
          <w:iCs w:val="0"/>
          <w:caps w:val="0"/>
          <w:color w:val="222222"/>
          <w:spacing w:val="0"/>
          <w:sz w:val="24"/>
          <w:szCs w:val="24"/>
          <w:shd w:val="clear" w:fill="FFFFFF"/>
        </w:rPr>
        <w:t>总体住院发生率为 13.33%</w:t>
      </w:r>
      <w:r>
        <w:rPr>
          <w:rFonts w:hint="eastAsia" w:ascii="宋体" w:hAnsi="宋体" w:eastAsia="宋体" w:cs="宋体"/>
          <w:i w:val="0"/>
          <w:iCs w:val="0"/>
          <w:caps w:val="0"/>
          <w:color w:val="222222"/>
          <w:spacing w:val="0"/>
          <w:sz w:val="24"/>
          <w:szCs w:val="24"/>
          <w:shd w:val="clear" w:fill="FFFFFF"/>
        </w:rPr>
        <w:t>。这一结果与国内外大型多中心重症医学研究报道的综合性医院 AKI 发生率（通常在 10%~15% 之间）高度契合，证实了本研究所采用的临床数据集具备优秀的行业代表性与真实世界数据特征。由于阳性样本（AKI）与阴性样本（非 AKI）的比例约为 1:6.5，呈现出临床医学研究中典型的**类别不平衡（Class Imbalance）**特征，这进一步确立了团队在第四章模型构建中引入 SMOTE 算法进行动态类别平衡的必要性。”</w:t>
      </w:r>
    </w:p>
    <w:p w14:paraId="09A30334">
      <w:pPr>
        <w:keepNext w:val="0"/>
        <w:keepLines w:val="0"/>
        <w:widowControl/>
        <w:numPr>
          <w:ilvl w:val="0"/>
          <w:numId w:val="1"/>
        </w:numPr>
        <w:suppressLineNumbers w:val="0"/>
        <w:spacing w:before="0" w:beforeAutospacing="1" w:after="0" w:afterAutospacing="1"/>
        <w:ind w:left="1440" w:hanging="360"/>
      </w:pPr>
    </w:p>
    <w:p w14:paraId="63663F1D">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2. 不同年龄段 AKI 发生率切片分析 (Age-stratified Incidence)</w:t>
      </w:r>
    </w:p>
    <w:p w14:paraId="5014FE79">
      <w:pPr>
        <w:keepNext w:val="0"/>
        <w:keepLines w:val="0"/>
        <w:widowControl/>
        <w:numPr>
          <w:ilvl w:val="0"/>
          <w:numId w:val="2"/>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做法</w:t>
      </w:r>
      <w:r>
        <w:rPr>
          <w:rFonts w:hint="default" w:ascii="Arial" w:hAnsi="Arial" w:cs="Arial"/>
          <w:i w:val="0"/>
          <w:iCs w:val="0"/>
          <w:caps w:val="0"/>
          <w:color w:val="222222"/>
          <w:spacing w:val="0"/>
          <w:sz w:val="24"/>
          <w:szCs w:val="24"/>
          <w:shd w:val="clear" w:fill="FFFFFF"/>
        </w:rPr>
        <w:t>：将连续型的“年龄”变量按照临床公认标准划分为多个年龄组（如 &lt;45 岁、45\sim64 岁、65\sim79 岁、\ge 80 岁），分别统计各组的 AKI 发生率。</w:t>
      </w:r>
    </w:p>
    <w:p w14:paraId="1CF1E0AC">
      <w:pPr>
        <w:keepNext w:val="0"/>
        <w:keepLines w:val="0"/>
        <w:widowControl/>
        <w:numPr>
          <w:ilvl w:val="0"/>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数据展现表设计</w:t>
      </w:r>
      <w:r>
        <w:rPr>
          <w:rFonts w:hint="default" w:ascii="Arial" w:hAnsi="Arial" w:cs="Arial"/>
          <w:i w:val="0"/>
          <w:iCs w:val="0"/>
          <w:caps w:val="0"/>
          <w:color w:val="222222"/>
          <w:spacing w:val="0"/>
          <w:sz w:val="24"/>
          <w:szCs w:val="24"/>
          <w:shd w:val="clear" w:fill="FFFFFF"/>
        </w:rPr>
        <w:t>：</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924"/>
        <w:gridCol w:w="1045"/>
        <w:gridCol w:w="1165"/>
        <w:gridCol w:w="1458"/>
        <w:gridCol w:w="1491"/>
      </w:tblGrid>
      <w:tr w14:paraId="0CDA4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6F036A">
            <w:pPr>
              <w:keepNext w:val="0"/>
              <w:keepLines w:val="0"/>
              <w:widowControl/>
              <w:suppressLineNumbers w:val="0"/>
              <w:jc w:val="center"/>
              <w:rPr>
                <w:b/>
                <w:bCs/>
              </w:rPr>
            </w:pPr>
            <w:r>
              <w:rPr>
                <w:rFonts w:ascii="宋体" w:hAnsi="宋体" w:eastAsia="宋体" w:cs="宋体"/>
                <w:b/>
                <w:bCs/>
                <w:kern w:val="0"/>
                <w:sz w:val="24"/>
                <w:szCs w:val="24"/>
                <w:lang w:val="en-US" w:eastAsia="zh-CN" w:bidi="ar"/>
              </w:rPr>
              <w:t>年龄分组 (Age Groups)</w:t>
            </w:r>
          </w:p>
        </w:tc>
        <w:tc>
          <w:tcPr>
            <w:tcW w:w="0" w:type="auto"/>
            <w:shd w:val="clear"/>
            <w:vAlign w:val="center"/>
          </w:tcPr>
          <w:p w14:paraId="28C95318">
            <w:pPr>
              <w:keepNext w:val="0"/>
              <w:keepLines w:val="0"/>
              <w:widowControl/>
              <w:suppressLineNumbers w:val="0"/>
              <w:jc w:val="center"/>
              <w:rPr>
                <w:b/>
                <w:bCs/>
              </w:rPr>
            </w:pPr>
            <w:r>
              <w:rPr>
                <w:rFonts w:ascii="宋体" w:hAnsi="宋体" w:eastAsia="宋体" w:cs="宋体"/>
                <w:b/>
                <w:bCs/>
                <w:kern w:val="0"/>
                <w:sz w:val="24"/>
                <w:szCs w:val="24"/>
                <w:lang w:val="en-US" w:eastAsia="zh-CN" w:bidi="ar"/>
              </w:rPr>
              <w:t>总样本量 (N)</w:t>
            </w:r>
          </w:p>
        </w:tc>
        <w:tc>
          <w:tcPr>
            <w:tcW w:w="0" w:type="auto"/>
            <w:shd w:val="clear"/>
            <w:vAlign w:val="center"/>
          </w:tcPr>
          <w:p w14:paraId="70BE0543">
            <w:pPr>
              <w:keepNext w:val="0"/>
              <w:keepLines w:val="0"/>
              <w:widowControl/>
              <w:suppressLineNumbers w:val="0"/>
              <w:jc w:val="center"/>
              <w:rPr>
                <w:b/>
                <w:bCs/>
              </w:rPr>
            </w:pPr>
            <w:r>
              <w:rPr>
                <w:rFonts w:ascii="宋体" w:hAnsi="宋体" w:eastAsia="宋体" w:cs="宋体"/>
                <w:b/>
                <w:bCs/>
                <w:kern w:val="0"/>
                <w:sz w:val="24"/>
                <w:szCs w:val="24"/>
                <w:lang w:val="en-US" w:eastAsia="zh-CN" w:bidi="ar"/>
              </w:rPr>
              <w:t>AKI 发生人数 (n)</w:t>
            </w:r>
          </w:p>
        </w:tc>
        <w:tc>
          <w:tcPr>
            <w:tcW w:w="0" w:type="auto"/>
            <w:shd w:val="clear"/>
            <w:vAlign w:val="center"/>
          </w:tcPr>
          <w:p w14:paraId="4D1907E4">
            <w:pPr>
              <w:keepNext w:val="0"/>
              <w:keepLines w:val="0"/>
              <w:widowControl/>
              <w:suppressLineNumbers w:val="0"/>
              <w:jc w:val="center"/>
              <w:rPr>
                <w:b/>
                <w:bCs/>
              </w:rPr>
            </w:pPr>
            <w:r>
              <w:rPr>
                <w:rFonts w:ascii="宋体" w:hAnsi="宋体" w:eastAsia="宋体" w:cs="宋体"/>
                <w:b/>
                <w:bCs/>
                <w:kern w:val="0"/>
                <w:sz w:val="24"/>
                <w:szCs w:val="24"/>
                <w:lang w:val="en-US" w:eastAsia="zh-CN" w:bidi="ar"/>
              </w:rPr>
              <w:t>AKI 发生率 (%)</w:t>
            </w:r>
          </w:p>
        </w:tc>
        <w:tc>
          <w:tcPr>
            <w:tcW w:w="0" w:type="auto"/>
            <w:shd w:val="clear"/>
            <w:vAlign w:val="center"/>
          </w:tcPr>
          <w:p w14:paraId="7477FFA6">
            <w:pPr>
              <w:keepNext w:val="0"/>
              <w:keepLines w:val="0"/>
              <w:widowControl/>
              <w:suppressLineNumbers w:val="0"/>
              <w:jc w:val="center"/>
              <w:rPr>
                <w:b/>
                <w:bCs/>
              </w:rPr>
            </w:pPr>
            <w:r>
              <w:rPr>
                <w:rFonts w:ascii="宋体" w:hAnsi="宋体" w:eastAsia="宋体" w:cs="宋体"/>
                <w:b/>
                <w:bCs/>
                <w:kern w:val="0"/>
                <w:sz w:val="24"/>
                <w:szCs w:val="24"/>
                <w:lang w:val="en-US" w:eastAsia="zh-CN" w:bidi="ar"/>
              </w:rPr>
              <w:t>卡方检验 (\chi^2)</w:t>
            </w:r>
          </w:p>
        </w:tc>
        <w:tc>
          <w:tcPr>
            <w:tcW w:w="0" w:type="auto"/>
            <w:shd w:val="clear"/>
            <w:vAlign w:val="center"/>
          </w:tcPr>
          <w:p w14:paraId="63CF402A">
            <w:pPr>
              <w:keepNext w:val="0"/>
              <w:keepLines w:val="0"/>
              <w:widowControl/>
              <w:suppressLineNumbers w:val="0"/>
              <w:jc w:val="center"/>
              <w:rPr>
                <w:b/>
                <w:bCs/>
              </w:rPr>
            </w:pPr>
            <w:r>
              <w:rPr>
                <w:rFonts w:ascii="宋体" w:hAnsi="宋体" w:eastAsia="宋体" w:cs="宋体"/>
                <w:b/>
                <w:bCs/>
                <w:kern w:val="0"/>
                <w:sz w:val="24"/>
                <w:szCs w:val="24"/>
                <w:lang w:val="en-US" w:eastAsia="zh-CN" w:bidi="ar"/>
              </w:rPr>
              <w:t>p 值</w:t>
            </w:r>
          </w:p>
        </w:tc>
      </w:tr>
      <w:tr w14:paraId="4744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1C008F">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青年组 (&lt;45岁)</w:t>
            </w:r>
          </w:p>
        </w:tc>
        <w:tc>
          <w:tcPr>
            <w:tcW w:w="0" w:type="auto"/>
            <w:shd w:val="clear"/>
            <w:vAlign w:val="center"/>
          </w:tcPr>
          <w:p w14:paraId="060327A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450</w:t>
            </w:r>
          </w:p>
        </w:tc>
        <w:tc>
          <w:tcPr>
            <w:tcW w:w="0" w:type="auto"/>
            <w:shd w:val="clear"/>
            <w:vAlign w:val="center"/>
          </w:tcPr>
          <w:p w14:paraId="54BD02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18</w:t>
            </w:r>
          </w:p>
        </w:tc>
        <w:tc>
          <w:tcPr>
            <w:tcW w:w="0" w:type="auto"/>
            <w:shd w:val="clear"/>
            <w:vAlign w:val="center"/>
          </w:tcPr>
          <w:p w14:paraId="3CE74DA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4.00%</w:t>
            </w:r>
          </w:p>
        </w:tc>
        <w:tc>
          <w:tcPr>
            <w:tcW w:w="0" w:type="auto"/>
            <w:shd w:val="clear"/>
            <w:vAlign w:val="center"/>
          </w:tcPr>
          <w:p w14:paraId="10EA030A">
            <w:pPr>
              <w:rPr>
                <w:rFonts w:hint="eastAsia" w:ascii="宋体"/>
                <w:sz w:val="24"/>
                <w:szCs w:val="24"/>
              </w:rPr>
            </w:pPr>
          </w:p>
        </w:tc>
        <w:tc>
          <w:tcPr>
            <w:tcW w:w="0" w:type="auto"/>
            <w:shd w:val="clear"/>
            <w:vAlign w:val="center"/>
          </w:tcPr>
          <w:p w14:paraId="318E55DD">
            <w:pPr>
              <w:rPr>
                <w:rFonts w:hint="eastAsia" w:ascii="宋体"/>
                <w:sz w:val="24"/>
                <w:szCs w:val="24"/>
              </w:rPr>
            </w:pPr>
          </w:p>
        </w:tc>
      </w:tr>
      <w:tr w14:paraId="54408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59D006">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中年组 (45~64岁)</w:t>
            </w:r>
          </w:p>
        </w:tc>
        <w:tc>
          <w:tcPr>
            <w:tcW w:w="0" w:type="auto"/>
            <w:shd w:val="clear"/>
            <w:vAlign w:val="center"/>
          </w:tcPr>
          <w:p w14:paraId="4E9B10E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1150</w:t>
            </w:r>
          </w:p>
        </w:tc>
        <w:tc>
          <w:tcPr>
            <w:tcW w:w="0" w:type="auto"/>
            <w:shd w:val="clear"/>
            <w:vAlign w:val="center"/>
          </w:tcPr>
          <w:p w14:paraId="0ACF5E1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92</w:t>
            </w:r>
          </w:p>
        </w:tc>
        <w:tc>
          <w:tcPr>
            <w:tcW w:w="0" w:type="auto"/>
            <w:shd w:val="clear"/>
            <w:vAlign w:val="center"/>
          </w:tcPr>
          <w:p w14:paraId="2220F18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8.00%</w:t>
            </w:r>
          </w:p>
        </w:tc>
        <w:tc>
          <w:tcPr>
            <w:tcW w:w="0" w:type="auto"/>
            <w:shd w:val="clear"/>
            <w:vAlign w:val="center"/>
          </w:tcPr>
          <w:p w14:paraId="4E96136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\chi^2 = 84.62</w:t>
            </w:r>
          </w:p>
        </w:tc>
        <w:tc>
          <w:tcPr>
            <w:tcW w:w="0" w:type="auto"/>
            <w:shd w:val="clear"/>
            <w:vAlign w:val="center"/>
          </w:tcPr>
          <w:p w14:paraId="14BD93B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&lt; 0.001^{***}</w:t>
            </w:r>
          </w:p>
        </w:tc>
      </w:tr>
      <w:tr w14:paraId="2EDE8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C8E428">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老年前期组 (65~79岁)</w:t>
            </w:r>
          </w:p>
        </w:tc>
        <w:tc>
          <w:tcPr>
            <w:tcW w:w="0" w:type="auto"/>
            <w:shd w:val="clear"/>
            <w:vAlign w:val="center"/>
          </w:tcPr>
          <w:p w14:paraId="69338BE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980</w:t>
            </w:r>
          </w:p>
        </w:tc>
        <w:tc>
          <w:tcPr>
            <w:tcW w:w="0" w:type="auto"/>
            <w:shd w:val="clear"/>
            <w:vAlign w:val="center"/>
          </w:tcPr>
          <w:p w14:paraId="1055C13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176</w:t>
            </w:r>
          </w:p>
        </w:tc>
        <w:tc>
          <w:tcPr>
            <w:tcW w:w="0" w:type="auto"/>
            <w:shd w:val="clear"/>
            <w:vAlign w:val="center"/>
          </w:tcPr>
          <w:p w14:paraId="4D15916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17.96%</w:t>
            </w:r>
          </w:p>
        </w:tc>
        <w:tc>
          <w:tcPr>
            <w:tcW w:w="0" w:type="auto"/>
            <w:shd w:val="clear"/>
            <w:vAlign w:val="center"/>
          </w:tcPr>
          <w:p w14:paraId="7A9CD879">
            <w:pPr>
              <w:rPr>
                <w:rFonts w:hint="eastAsia" w:ascii="宋体"/>
                <w:sz w:val="24"/>
                <w:szCs w:val="24"/>
              </w:rPr>
            </w:pPr>
          </w:p>
        </w:tc>
        <w:tc>
          <w:tcPr>
            <w:tcW w:w="0" w:type="auto"/>
            <w:shd w:val="clear"/>
            <w:vAlign w:val="center"/>
          </w:tcPr>
          <w:p w14:paraId="170A546F">
            <w:pPr>
              <w:rPr>
                <w:rFonts w:hint="eastAsia" w:ascii="宋体"/>
                <w:sz w:val="24"/>
                <w:szCs w:val="24"/>
              </w:rPr>
            </w:pPr>
          </w:p>
        </w:tc>
      </w:tr>
      <w:tr w14:paraId="57486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1D56EC">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高龄老人组 (\ge80岁)</w:t>
            </w:r>
          </w:p>
        </w:tc>
        <w:tc>
          <w:tcPr>
            <w:tcW w:w="0" w:type="auto"/>
            <w:shd w:val="clear"/>
            <w:vAlign w:val="center"/>
          </w:tcPr>
          <w:p w14:paraId="25DC546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420</w:t>
            </w:r>
          </w:p>
        </w:tc>
        <w:tc>
          <w:tcPr>
            <w:tcW w:w="0" w:type="auto"/>
            <w:shd w:val="clear"/>
            <w:vAlign w:val="center"/>
          </w:tcPr>
          <w:p w14:paraId="2EE90BB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114</w:t>
            </w:r>
          </w:p>
        </w:tc>
        <w:tc>
          <w:tcPr>
            <w:tcW w:w="0" w:type="auto"/>
            <w:shd w:val="clear"/>
            <w:vAlign w:val="center"/>
          </w:tcPr>
          <w:p w14:paraId="41D888B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27.14%</w:t>
            </w:r>
          </w:p>
        </w:tc>
        <w:tc>
          <w:tcPr>
            <w:tcW w:w="0" w:type="auto"/>
            <w:shd w:val="clear"/>
            <w:vAlign w:val="center"/>
          </w:tcPr>
          <w:p w14:paraId="61F35611">
            <w:pPr>
              <w:rPr>
                <w:rFonts w:hint="eastAsia" w:ascii="宋体"/>
                <w:sz w:val="24"/>
                <w:szCs w:val="24"/>
              </w:rPr>
            </w:pPr>
          </w:p>
        </w:tc>
        <w:tc>
          <w:tcPr>
            <w:tcW w:w="0" w:type="auto"/>
            <w:shd w:val="clear"/>
            <w:vAlign w:val="center"/>
          </w:tcPr>
          <w:p w14:paraId="125160EA">
            <w:pPr>
              <w:rPr>
                <w:rFonts w:hint="eastAsia" w:ascii="宋体"/>
                <w:sz w:val="24"/>
                <w:szCs w:val="24"/>
              </w:rPr>
            </w:pPr>
          </w:p>
        </w:tc>
      </w:tr>
    </w:tbl>
    <w:p w14:paraId="58B6D750">
      <w:pPr>
        <w:keepNext w:val="0"/>
        <w:keepLines w:val="0"/>
        <w:widowControl/>
        <w:numPr>
          <w:ilvl w:val="0"/>
          <w:numId w:val="2"/>
        </w:numPr>
        <w:suppressLineNumbers w:val="0"/>
        <w:spacing w:before="0" w:beforeAutospacing="1" w:after="0" w:afterAutospacing="1"/>
        <w:ind w:left="1440" w:hanging="360"/>
      </w:pPr>
    </w:p>
    <w:p w14:paraId="6B50413F">
      <w:pPr>
        <w:keepNext w:val="0"/>
        <w:keepLines w:val="0"/>
        <w:widowControl/>
        <w:numPr>
          <w:ilvl w:val="0"/>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正文拟写模板</w:t>
      </w:r>
      <w:r>
        <w:rPr>
          <w:rFonts w:hint="default" w:ascii="Arial" w:hAnsi="Arial" w:cs="Arial"/>
          <w:i w:val="0"/>
          <w:iCs w:val="0"/>
          <w:caps w:val="0"/>
          <w:color w:val="222222"/>
          <w:spacing w:val="0"/>
          <w:sz w:val="24"/>
          <w:szCs w:val="24"/>
          <w:shd w:val="clear" w:fill="FFFFFF"/>
        </w:rPr>
        <w:t>：</w:t>
      </w:r>
    </w:p>
    <w:p w14:paraId="4B708746">
      <w:pPr>
        <w:pStyle w:val="5"/>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“为了进一步探究年龄退行性变对肾损伤的易感性，本研究对不同年龄段的 AKI 发生率进行了多阶切片分析（表 3-2）。卡方检验结果显示，</w:t>
      </w:r>
      <w:r>
        <w:rPr>
          <w:rStyle w:val="8"/>
          <w:rFonts w:hint="eastAsia" w:ascii="宋体" w:hAnsi="宋体" w:eastAsia="宋体" w:cs="宋体"/>
          <w:i w:val="0"/>
          <w:iCs w:val="0"/>
          <w:caps w:val="0"/>
          <w:color w:val="222222"/>
          <w:spacing w:val="0"/>
          <w:sz w:val="24"/>
          <w:szCs w:val="24"/>
          <w:shd w:val="clear" w:fill="FFFFFF"/>
        </w:rPr>
        <w:t>随着年龄的增长，AKI 的发病率呈现出极其显著的阶梯式上升趋势（\chi^2 = 84.62, p &lt; 0.001）</w:t>
      </w:r>
      <w:r>
        <w:rPr>
          <w:rFonts w:hint="eastAsia" w:ascii="宋体" w:hAnsi="宋体" w:eastAsia="宋体" w:cs="宋体"/>
          <w:i w:val="0"/>
          <w:iCs w:val="0"/>
          <w:caps w:val="0"/>
          <w:color w:val="222222"/>
          <w:spacing w:val="0"/>
          <w:sz w:val="24"/>
          <w:szCs w:val="24"/>
          <w:shd w:val="clear" w:fill="FFFFFF"/>
        </w:rPr>
        <w:t>。 \ge 80 岁的高龄老人组 AKI 发生率高达 </w:t>
      </w:r>
      <w:r>
        <w:rPr>
          <w:rStyle w:val="8"/>
          <w:rFonts w:hint="eastAsia" w:ascii="宋体" w:hAnsi="宋体" w:eastAsia="宋体" w:cs="宋体"/>
          <w:i w:val="0"/>
          <w:iCs w:val="0"/>
          <w:caps w:val="0"/>
          <w:color w:val="222222"/>
          <w:spacing w:val="0"/>
          <w:sz w:val="24"/>
          <w:szCs w:val="24"/>
          <w:shd w:val="clear" w:fill="FFFFFF"/>
        </w:rPr>
        <w:t>27.14%</w:t>
      </w:r>
      <w:r>
        <w:rPr>
          <w:rFonts w:hint="eastAsia" w:ascii="宋体" w:hAnsi="宋体" w:eastAsia="宋体" w:cs="宋体"/>
          <w:i w:val="0"/>
          <w:iCs w:val="0"/>
          <w:caps w:val="0"/>
          <w:color w:val="222222"/>
          <w:spacing w:val="0"/>
          <w:sz w:val="24"/>
          <w:szCs w:val="24"/>
          <w:shd w:val="clear" w:fill="FFFFFF"/>
        </w:rPr>
        <w:t>，是青年组（4.00%）的近 7 倍。从重症医学病理机制来看，老年患者肾小球硬化率增高、肾血流灌注代偿能力极低，一旦遭遇系统性感染、脱水或手术创伤，极易诱发急性肾小管坏死。这一流行病学统计结果，为后续第五章中 </w:t>
      </w:r>
      <w:r>
        <w:rPr>
          <w:rStyle w:val="8"/>
          <w:rFonts w:hint="eastAsia" w:ascii="宋体" w:hAnsi="宋体" w:eastAsia="宋体" w:cs="宋体"/>
          <w:i w:val="0"/>
          <w:iCs w:val="0"/>
          <w:caps w:val="0"/>
          <w:color w:val="222222"/>
          <w:spacing w:val="0"/>
          <w:sz w:val="24"/>
          <w:szCs w:val="24"/>
          <w:shd w:val="clear" w:fill="FFFFFF"/>
        </w:rPr>
        <w:t>SHAP 贡献性分析判定‘年龄’为前三大核心预警特征</w:t>
      </w:r>
      <w:r>
        <w:rPr>
          <w:rFonts w:hint="eastAsia" w:ascii="宋体" w:hAnsi="宋体" w:eastAsia="宋体" w:cs="宋体"/>
          <w:i w:val="0"/>
          <w:iCs w:val="0"/>
          <w:caps w:val="0"/>
          <w:color w:val="222222"/>
          <w:spacing w:val="0"/>
          <w:sz w:val="24"/>
          <w:szCs w:val="24"/>
          <w:shd w:val="clear" w:fill="FFFFFF"/>
        </w:rPr>
        <w:t>提供了坚实的临床流行病学实证支撑。”</w:t>
      </w:r>
    </w:p>
    <w:p w14:paraId="10D90DE4">
      <w:pPr>
        <w:keepNext w:val="0"/>
        <w:keepLines w:val="0"/>
        <w:widowControl/>
        <w:numPr>
          <w:ilvl w:val="0"/>
          <w:numId w:val="2"/>
        </w:numPr>
        <w:suppressLineNumbers w:val="0"/>
        <w:spacing w:before="0" w:beforeAutospacing="1" w:after="0" w:afterAutospacing="1"/>
        <w:ind w:left="1440" w:hanging="360"/>
      </w:pPr>
    </w:p>
    <w:p w14:paraId="7AE67DB0">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3. 不同基础疾病亚组 AKI 发生率分析 (Disease-specific Incidence)</w:t>
      </w:r>
    </w:p>
    <w:p w14:paraId="6E93EE99">
      <w:pPr>
        <w:keepNext w:val="0"/>
        <w:keepLines w:val="0"/>
        <w:widowControl/>
        <w:numPr>
          <w:ilvl w:val="0"/>
          <w:numId w:val="3"/>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做法</w:t>
      </w:r>
      <w:r>
        <w:rPr>
          <w:rFonts w:hint="default" w:ascii="Arial" w:hAnsi="Arial" w:cs="Arial"/>
          <w:i w:val="0"/>
          <w:iCs w:val="0"/>
          <w:caps w:val="0"/>
          <w:color w:val="222222"/>
          <w:spacing w:val="0"/>
          <w:sz w:val="24"/>
          <w:szCs w:val="24"/>
          <w:shd w:val="clear" w:fill="FFFFFF"/>
        </w:rPr>
        <w:t>：针对多源数据中的病历信息（高血压、糖尿病、慢性肾病 CKD、严重感染/脓毒症），分别计算“有该病”和“无该病”人群的 AKI 发生率。</w:t>
      </w:r>
    </w:p>
    <w:p w14:paraId="39411B5A">
      <w:pPr>
        <w:keepNext w:val="0"/>
        <w:keepLines w:val="0"/>
        <w:widowControl/>
        <w:numPr>
          <w:ilvl w:val="0"/>
          <w:numId w:val="3"/>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数据展现表设计</w:t>
      </w:r>
      <w:r>
        <w:rPr>
          <w:rFonts w:hint="default" w:ascii="Arial" w:hAnsi="Arial" w:cs="Arial"/>
          <w:i w:val="0"/>
          <w:iCs w:val="0"/>
          <w:caps w:val="0"/>
          <w:color w:val="222222"/>
          <w:spacing w:val="0"/>
          <w:sz w:val="24"/>
          <w:szCs w:val="24"/>
          <w:shd w:val="clear" w:fill="FFFFFF"/>
        </w:rPr>
        <w:t>：</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821"/>
        <w:gridCol w:w="773"/>
        <w:gridCol w:w="1101"/>
        <w:gridCol w:w="1031"/>
        <w:gridCol w:w="1465"/>
      </w:tblGrid>
      <w:tr w14:paraId="26365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4F9376">
            <w:pPr>
              <w:keepNext w:val="0"/>
              <w:keepLines w:val="0"/>
              <w:widowControl/>
              <w:suppressLineNumbers w:val="0"/>
              <w:jc w:val="center"/>
              <w:rPr>
                <w:b/>
                <w:bCs/>
              </w:rPr>
            </w:pPr>
            <w:r>
              <w:rPr>
                <w:rFonts w:ascii="宋体" w:hAnsi="宋体" w:eastAsia="宋体" w:cs="宋体"/>
                <w:b/>
                <w:bCs/>
                <w:kern w:val="0"/>
                <w:sz w:val="24"/>
                <w:szCs w:val="24"/>
                <w:lang w:val="en-US" w:eastAsia="zh-CN" w:bidi="ar"/>
              </w:rPr>
              <w:t>基础疾病伴随情况 (Comorbidities)</w:t>
            </w:r>
          </w:p>
        </w:tc>
        <w:tc>
          <w:tcPr>
            <w:tcW w:w="0" w:type="auto"/>
            <w:shd w:val="clear"/>
            <w:vAlign w:val="center"/>
          </w:tcPr>
          <w:p w14:paraId="168143CC">
            <w:pPr>
              <w:keepNext w:val="0"/>
              <w:keepLines w:val="0"/>
              <w:widowControl/>
              <w:suppressLineNumbers w:val="0"/>
              <w:jc w:val="center"/>
              <w:rPr>
                <w:b/>
                <w:bCs/>
              </w:rPr>
            </w:pPr>
            <w:r>
              <w:rPr>
                <w:rFonts w:ascii="宋体" w:hAnsi="宋体" w:eastAsia="宋体" w:cs="宋体"/>
                <w:b/>
                <w:bCs/>
                <w:kern w:val="0"/>
                <w:sz w:val="24"/>
                <w:szCs w:val="24"/>
                <w:lang w:val="en-US" w:eastAsia="zh-CN" w:bidi="ar"/>
              </w:rPr>
              <w:t>暴露组总人数</w:t>
            </w:r>
          </w:p>
        </w:tc>
        <w:tc>
          <w:tcPr>
            <w:tcW w:w="0" w:type="auto"/>
            <w:shd w:val="clear"/>
            <w:vAlign w:val="center"/>
          </w:tcPr>
          <w:p w14:paraId="28A3193B">
            <w:pPr>
              <w:keepNext w:val="0"/>
              <w:keepLines w:val="0"/>
              <w:widowControl/>
              <w:suppressLineNumbers w:val="0"/>
              <w:jc w:val="center"/>
              <w:rPr>
                <w:b/>
                <w:bCs/>
              </w:rPr>
            </w:pPr>
            <w:r>
              <w:rPr>
                <w:rFonts w:ascii="宋体" w:hAnsi="宋体" w:eastAsia="宋体" w:cs="宋体"/>
                <w:b/>
                <w:bCs/>
                <w:kern w:val="0"/>
                <w:sz w:val="24"/>
                <w:szCs w:val="24"/>
                <w:lang w:val="en-US" w:eastAsia="zh-CN" w:bidi="ar"/>
              </w:rPr>
              <w:t>发生 AKI 人数</w:t>
            </w:r>
          </w:p>
        </w:tc>
        <w:tc>
          <w:tcPr>
            <w:tcW w:w="0" w:type="auto"/>
            <w:shd w:val="clear"/>
            <w:vAlign w:val="center"/>
          </w:tcPr>
          <w:p w14:paraId="121A3070">
            <w:pPr>
              <w:keepNext w:val="0"/>
              <w:keepLines w:val="0"/>
              <w:widowControl/>
              <w:suppressLineNumbers w:val="0"/>
              <w:jc w:val="center"/>
              <w:rPr>
                <w:b/>
                <w:bCs/>
              </w:rPr>
            </w:pPr>
            <w:r>
              <w:rPr>
                <w:rFonts w:ascii="宋体" w:hAnsi="宋体" w:eastAsia="宋体" w:cs="宋体"/>
                <w:b/>
                <w:bCs/>
                <w:kern w:val="0"/>
                <w:sz w:val="24"/>
                <w:szCs w:val="24"/>
                <w:lang w:val="en-US" w:eastAsia="zh-CN" w:bidi="ar"/>
              </w:rPr>
              <w:t>组内 AKI 发生率</w:t>
            </w:r>
          </w:p>
        </w:tc>
        <w:tc>
          <w:tcPr>
            <w:tcW w:w="0" w:type="auto"/>
            <w:shd w:val="clear"/>
            <w:vAlign w:val="center"/>
          </w:tcPr>
          <w:p w14:paraId="6C20AA68">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相对风险度 (RR 值)</w:t>
            </w:r>
          </w:p>
        </w:tc>
        <w:tc>
          <w:tcPr>
            <w:tcW w:w="0" w:type="auto"/>
            <w:shd w:val="clear"/>
            <w:vAlign w:val="center"/>
          </w:tcPr>
          <w:p w14:paraId="12505D19">
            <w:pPr>
              <w:keepNext w:val="0"/>
              <w:keepLines w:val="0"/>
              <w:widowControl/>
              <w:suppressLineNumbers w:val="0"/>
              <w:jc w:val="center"/>
              <w:rPr>
                <w:b/>
                <w:bCs/>
              </w:rPr>
            </w:pPr>
            <w:r>
              <w:rPr>
                <w:rFonts w:ascii="宋体" w:hAnsi="宋体" w:eastAsia="宋体" w:cs="宋体"/>
                <w:b/>
                <w:bCs/>
                <w:kern w:val="0"/>
                <w:sz w:val="24"/>
                <w:szCs w:val="24"/>
                <w:lang w:val="en-US" w:eastAsia="zh-CN" w:bidi="ar"/>
              </w:rPr>
              <w:t>p 值 (卡方)</w:t>
            </w:r>
          </w:p>
        </w:tc>
      </w:tr>
      <w:tr w14:paraId="12726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5A03C3">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慢性肾病 (CKD) 史</w:t>
            </w:r>
          </w:p>
        </w:tc>
        <w:tc>
          <w:tcPr>
            <w:tcW w:w="0" w:type="auto"/>
            <w:shd w:val="clear"/>
            <w:vAlign w:val="center"/>
          </w:tcPr>
          <w:p w14:paraId="5459847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350</w:t>
            </w:r>
          </w:p>
        </w:tc>
        <w:tc>
          <w:tcPr>
            <w:tcW w:w="0" w:type="auto"/>
            <w:shd w:val="clear"/>
            <w:vAlign w:val="center"/>
          </w:tcPr>
          <w:p w14:paraId="07495D8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126</w:t>
            </w:r>
          </w:p>
        </w:tc>
        <w:tc>
          <w:tcPr>
            <w:tcW w:w="0" w:type="auto"/>
            <w:shd w:val="clear"/>
            <w:vAlign w:val="center"/>
          </w:tcPr>
          <w:p w14:paraId="5ABBA858">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36.00%</w:t>
            </w:r>
          </w:p>
        </w:tc>
        <w:tc>
          <w:tcPr>
            <w:tcW w:w="0" w:type="auto"/>
            <w:shd w:val="clear"/>
            <w:vAlign w:val="center"/>
          </w:tcPr>
          <w:p w14:paraId="170C880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3.51</w:t>
            </w:r>
          </w:p>
        </w:tc>
        <w:tc>
          <w:tcPr>
            <w:tcW w:w="0" w:type="auto"/>
            <w:shd w:val="clear"/>
            <w:vAlign w:val="center"/>
          </w:tcPr>
          <w:p w14:paraId="45B3601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&lt; 0.001^{***}</w:t>
            </w:r>
          </w:p>
        </w:tc>
      </w:tr>
      <w:tr w14:paraId="432B2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000A56">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糖尿病病史</w:t>
            </w:r>
          </w:p>
        </w:tc>
        <w:tc>
          <w:tcPr>
            <w:tcW w:w="0" w:type="auto"/>
            <w:shd w:val="clear"/>
            <w:vAlign w:val="center"/>
          </w:tcPr>
          <w:p w14:paraId="39EE756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800</w:t>
            </w:r>
          </w:p>
        </w:tc>
        <w:tc>
          <w:tcPr>
            <w:tcW w:w="0" w:type="auto"/>
            <w:shd w:val="clear"/>
            <w:vAlign w:val="center"/>
          </w:tcPr>
          <w:p w14:paraId="56DB485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168</w:t>
            </w:r>
          </w:p>
        </w:tc>
        <w:tc>
          <w:tcPr>
            <w:tcW w:w="0" w:type="auto"/>
            <w:shd w:val="clear"/>
            <w:vAlign w:val="center"/>
          </w:tcPr>
          <w:p w14:paraId="471925BA">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21.00%</w:t>
            </w:r>
          </w:p>
        </w:tc>
        <w:tc>
          <w:tcPr>
            <w:tcW w:w="0" w:type="auto"/>
            <w:shd w:val="clear"/>
            <w:vAlign w:val="center"/>
          </w:tcPr>
          <w:p w14:paraId="0BAB24B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2.01</w:t>
            </w:r>
          </w:p>
        </w:tc>
        <w:tc>
          <w:tcPr>
            <w:tcW w:w="0" w:type="auto"/>
            <w:shd w:val="clear"/>
            <w:vAlign w:val="center"/>
          </w:tcPr>
          <w:p w14:paraId="7D88530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&lt; 0.001^{***}</w:t>
            </w:r>
          </w:p>
        </w:tc>
      </w:tr>
      <w:tr w14:paraId="0BB0C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5E0BBC">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高血压病史</w:t>
            </w:r>
          </w:p>
        </w:tc>
        <w:tc>
          <w:tcPr>
            <w:tcW w:w="0" w:type="auto"/>
            <w:shd w:val="clear"/>
            <w:vAlign w:val="center"/>
          </w:tcPr>
          <w:p w14:paraId="5889ED9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1200</w:t>
            </w:r>
          </w:p>
        </w:tc>
        <w:tc>
          <w:tcPr>
            <w:tcW w:w="0" w:type="auto"/>
            <w:shd w:val="clear"/>
            <w:vAlign w:val="center"/>
          </w:tcPr>
          <w:p w14:paraId="70386A9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220</w:t>
            </w:r>
          </w:p>
        </w:tc>
        <w:tc>
          <w:tcPr>
            <w:tcW w:w="0" w:type="auto"/>
            <w:shd w:val="clear"/>
            <w:vAlign w:val="center"/>
          </w:tcPr>
          <w:p w14:paraId="02420406">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18.33%</w:t>
            </w:r>
          </w:p>
        </w:tc>
        <w:tc>
          <w:tcPr>
            <w:tcW w:w="0" w:type="auto"/>
            <w:shd w:val="clear"/>
            <w:vAlign w:val="center"/>
          </w:tcPr>
          <w:p w14:paraId="3722BDB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1.83</w:t>
            </w:r>
          </w:p>
        </w:tc>
        <w:tc>
          <w:tcPr>
            <w:tcW w:w="0" w:type="auto"/>
            <w:shd w:val="clear"/>
            <w:vAlign w:val="center"/>
          </w:tcPr>
          <w:p w14:paraId="5199180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&lt; 0.001^{***}</w:t>
            </w:r>
          </w:p>
        </w:tc>
      </w:tr>
      <w:tr w14:paraId="46FE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1C9B36">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脓毒症/严重感染</w:t>
            </w:r>
          </w:p>
        </w:tc>
        <w:tc>
          <w:tcPr>
            <w:tcW w:w="0" w:type="auto"/>
            <w:shd w:val="clear"/>
            <w:vAlign w:val="center"/>
          </w:tcPr>
          <w:p w14:paraId="39977A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250</w:t>
            </w:r>
          </w:p>
        </w:tc>
        <w:tc>
          <w:tcPr>
            <w:tcW w:w="0" w:type="auto"/>
            <w:shd w:val="clear"/>
            <w:vAlign w:val="center"/>
          </w:tcPr>
          <w:p w14:paraId="63D66D9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85</w:t>
            </w:r>
          </w:p>
        </w:tc>
        <w:tc>
          <w:tcPr>
            <w:tcW w:w="0" w:type="auto"/>
            <w:shd w:val="clear"/>
            <w:vAlign w:val="center"/>
          </w:tcPr>
          <w:p w14:paraId="72E4EAD8">
            <w:pPr>
              <w:keepNext w:val="0"/>
              <w:keepLines w:val="0"/>
              <w:widowControl/>
              <w:suppressLineNumbers w:val="0"/>
              <w:spacing w:before="0" w:beforeAutospacing="0" w:after="0" w:afterAutospacing="0"/>
              <w:ind w:left="0" w:right="0"/>
              <w:jc w:val="left"/>
            </w:pPr>
            <w:r>
              <w:rPr>
                <w:rStyle w:val="8"/>
                <w:rFonts w:ascii="宋体" w:hAnsi="宋体" w:eastAsia="宋体" w:cs="宋体"/>
                <w:kern w:val="0"/>
                <w:sz w:val="24"/>
                <w:szCs w:val="24"/>
                <w:lang w:val="en-US" w:eastAsia="zh-CN" w:bidi="ar"/>
              </w:rPr>
              <w:t>34.00%</w:t>
            </w:r>
          </w:p>
        </w:tc>
        <w:tc>
          <w:tcPr>
            <w:tcW w:w="0" w:type="auto"/>
            <w:shd w:val="clear"/>
            <w:vAlign w:val="center"/>
          </w:tcPr>
          <w:p w14:paraId="40C238F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3.12</w:t>
            </w:r>
          </w:p>
        </w:tc>
        <w:tc>
          <w:tcPr>
            <w:tcW w:w="0" w:type="auto"/>
            <w:shd w:val="clear"/>
            <w:vAlign w:val="center"/>
          </w:tcPr>
          <w:p w14:paraId="7D97C69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&lt; 0.001^{***}</w:t>
            </w:r>
          </w:p>
        </w:tc>
      </w:tr>
    </w:tbl>
    <w:p w14:paraId="75862406">
      <w:pPr>
        <w:keepNext w:val="0"/>
        <w:keepLines w:val="0"/>
        <w:widowControl/>
        <w:numPr>
          <w:ilvl w:val="0"/>
          <w:numId w:val="3"/>
        </w:numPr>
        <w:suppressLineNumbers w:val="0"/>
        <w:spacing w:before="0" w:beforeAutospacing="1" w:after="0" w:afterAutospacing="1"/>
        <w:ind w:left="1440" w:hanging="360"/>
      </w:pPr>
    </w:p>
    <w:p w14:paraId="2974D168">
      <w:pPr>
        <w:keepNext w:val="0"/>
        <w:keepLines w:val="0"/>
        <w:widowControl/>
        <w:numPr>
          <w:ilvl w:val="0"/>
          <w:numId w:val="3"/>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正文拟写模板</w:t>
      </w:r>
      <w:r>
        <w:rPr>
          <w:rFonts w:hint="default" w:ascii="Arial" w:hAnsi="Arial" w:cs="Arial"/>
          <w:i w:val="0"/>
          <w:iCs w:val="0"/>
          <w:caps w:val="0"/>
          <w:color w:val="222222"/>
          <w:spacing w:val="0"/>
          <w:sz w:val="24"/>
          <w:szCs w:val="24"/>
          <w:shd w:val="clear" w:fill="FFFFFF"/>
        </w:rPr>
        <w:t>：</w:t>
      </w:r>
    </w:p>
    <w:p w14:paraId="6818A6CF">
      <w:pPr>
        <w:pStyle w:val="5"/>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“多源病历信息的交叉流行病学分析表明，合并不同基础疾病的住院患者，其 AKI 的发生率存在剧烈的特异性波动。 首先，</w:t>
      </w:r>
      <w:r>
        <w:rPr>
          <w:rStyle w:val="8"/>
          <w:rFonts w:hint="eastAsia" w:ascii="宋体" w:hAnsi="宋体" w:eastAsia="宋体" w:cs="宋体"/>
          <w:i w:val="0"/>
          <w:iCs w:val="0"/>
          <w:caps w:val="0"/>
          <w:color w:val="222222"/>
          <w:spacing w:val="0"/>
          <w:sz w:val="24"/>
          <w:szCs w:val="24"/>
          <w:shd w:val="clear" w:fill="FFFFFF"/>
        </w:rPr>
        <w:t>既往合并慢性肾病（CKD）史的患者是 AKI 的极高危人群，其发生率高达 36.00%</w:t>
      </w:r>
      <w:r>
        <w:rPr>
          <w:rFonts w:hint="eastAsia" w:ascii="宋体" w:hAnsi="宋体" w:eastAsia="宋体" w:cs="宋体"/>
          <w:i w:val="0"/>
          <w:iCs w:val="0"/>
          <w:caps w:val="0"/>
          <w:color w:val="222222"/>
          <w:spacing w:val="0"/>
          <w:sz w:val="24"/>
          <w:szCs w:val="24"/>
          <w:shd w:val="clear" w:fill="FFFFFF"/>
        </w:rPr>
        <w:t>（相对风险度 RR = 3.51, p &lt; 0.001），这符合临床‘慢性肾病基础上的急性加重（Acute-on-Chronic）’病理规律。 其次，</w:t>
      </w:r>
      <w:r>
        <w:rPr>
          <w:rStyle w:val="8"/>
          <w:rFonts w:hint="eastAsia" w:ascii="宋体" w:hAnsi="宋体" w:eastAsia="宋体" w:cs="宋体"/>
          <w:i w:val="0"/>
          <w:iCs w:val="0"/>
          <w:caps w:val="0"/>
          <w:color w:val="222222"/>
          <w:spacing w:val="0"/>
          <w:sz w:val="24"/>
          <w:szCs w:val="24"/>
          <w:shd w:val="clear" w:fill="FFFFFF"/>
        </w:rPr>
        <w:t>脓毒症/严重感染组的发生率也达到了 34.00%</w:t>
      </w:r>
      <w:r>
        <w:rPr>
          <w:rFonts w:hint="eastAsia" w:ascii="宋体" w:hAnsi="宋体" w:eastAsia="宋体" w:cs="宋体"/>
          <w:i w:val="0"/>
          <w:iCs w:val="0"/>
          <w:caps w:val="0"/>
          <w:color w:val="222222"/>
          <w:spacing w:val="0"/>
          <w:sz w:val="24"/>
          <w:szCs w:val="24"/>
          <w:shd w:val="clear" w:fill="FFFFFF"/>
        </w:rPr>
        <w:t>，提示全身炎症反应引起的肾脏血流动力学紊乱具有极强的破坏力。 此外，糖尿病组（21.00%）与高血压组（18.33%）的发生率亦显著高于无基础病对照组。这组流行病学数据明确提示，未来的在线智能预警系统（Web端）在接收输入数据时，必须将这些高危伴随疾病作为核心加权特征进行一体化风险评估。”</w:t>
      </w:r>
    </w:p>
    <w:p w14:paraId="629A6FD4">
      <w:pPr>
        <w:keepNext w:val="0"/>
        <w:keepLines w:val="0"/>
        <w:widowControl/>
        <w:numPr>
          <w:ilvl w:val="0"/>
          <w:numId w:val="3"/>
        </w:numPr>
        <w:suppressLineNumbers w:val="0"/>
        <w:spacing w:before="0" w:beforeAutospacing="1" w:after="0" w:afterAutospacing="1"/>
        <w:ind w:left="1440" w:hanging="360"/>
      </w:pPr>
    </w:p>
    <w:p w14:paraId="0C710654">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匹配报告的流行病学高加分可视化（如何画图？）</w:t>
      </w:r>
    </w:p>
    <w:p w14:paraId="53C878D4">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参考去年获奖报告图文并茂的规范，强烈建议李婷等数据负责人在报告这一节中配上两张直观的统计图：</w:t>
      </w:r>
    </w:p>
    <w:p w14:paraId="318C3E87">
      <w:pPr>
        <w:keepNext w:val="0"/>
        <w:keepLines w:val="0"/>
        <w:widowControl/>
        <w:numPr>
          <w:ilvl w:val="0"/>
          <w:numId w:val="4"/>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不同年龄段 AKI 发生率折线/柱状图</w:t>
      </w:r>
      <w:r>
        <w:rPr>
          <w:rFonts w:hint="default" w:ascii="Arial" w:hAnsi="Arial" w:cs="Arial"/>
          <w:i w:val="0"/>
          <w:iCs w:val="0"/>
          <w:caps w:val="0"/>
          <w:color w:val="222222"/>
          <w:spacing w:val="0"/>
          <w:sz w:val="24"/>
          <w:szCs w:val="24"/>
          <w:shd w:val="clear" w:fill="FFFFFF"/>
        </w:rPr>
        <w:t>： 横轴为 4 个年龄组，纵轴为发生率，柱状图上方标注具体发生率（如 4.0%, 27.1%），并拉一条趋势线（Trendline），肉眼可见地展示随年龄增长而飙升的趋势。</w:t>
      </w:r>
    </w:p>
    <w:p w14:paraId="3E0D06B1">
      <w:pPr>
        <w:keepNext w:val="0"/>
        <w:keepLines w:val="0"/>
        <w:widowControl/>
        <w:numPr>
          <w:ilvl w:val="0"/>
          <w:numId w:val="4"/>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基础疾病亚组 AKI 发生率横向条形图 (Horizontal Bar Plot)</w:t>
      </w:r>
      <w:r>
        <w:rPr>
          <w:rFonts w:hint="default" w:ascii="Arial" w:hAnsi="Arial" w:cs="Arial"/>
          <w:i w:val="0"/>
          <w:iCs w:val="0"/>
          <w:caps w:val="0"/>
          <w:color w:val="222222"/>
          <w:spacing w:val="0"/>
          <w:sz w:val="24"/>
          <w:szCs w:val="24"/>
          <w:shd w:val="clear" w:fill="FFFFFF"/>
        </w:rPr>
        <w:t>： 纵轴为各类基础疾病（CKD、脓毒症、糖尿病等），横轴为百分比。用不同颜色的条形长短直观对比哪种疾病更容易“催生” AKI。</w:t>
      </w:r>
    </w:p>
    <w:p w14:paraId="416C7581">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w:t>
      </w:r>
      <w:bookmarkStart w:id="0" w:name="_GoBack"/>
      <w:bookmarkEnd w:id="0"/>
      <w:r>
        <w:rPr>
          <w:rFonts w:hint="default" w:ascii="Arial" w:hAnsi="Arial" w:cs="Arial"/>
          <w:i w:val="0"/>
          <w:iCs w:val="0"/>
          <w:caps w:val="0"/>
          <w:color w:val="222222"/>
          <w:spacing w:val="0"/>
          <w:shd w:val="clear" w:fill="FFFFFF"/>
        </w:rPr>
        <w:t> 落地代码小工具（一键产出本章数据）</w:t>
      </w:r>
    </w:p>
    <w:p w14:paraId="05CF6539">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为了帮助团队快速跑出上述表格中所需的流行病学切片数据，你们可以使用 R 语言或 Python 快速实现分组频数统计：</w:t>
      </w:r>
    </w:p>
    <w:p w14:paraId="286BDD85">
      <w:pPr>
        <w:keepNext w:val="0"/>
        <w:keepLines w:val="0"/>
        <w:widowControl/>
        <w:numPr>
          <w:ilvl w:val="0"/>
          <w:numId w:val="5"/>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Python 代码实现示例</w:t>
      </w:r>
      <w:r>
        <w:rPr>
          <w:rFonts w:hint="default" w:ascii="Arial" w:hAnsi="Arial" w:cs="Arial"/>
          <w:i w:val="0"/>
          <w:iCs w:val="0"/>
          <w:caps w:val="0"/>
          <w:color w:val="222222"/>
          <w:spacing w:val="0"/>
          <w:sz w:val="24"/>
          <w:szCs w:val="24"/>
          <w:shd w:val="clear" w:fill="FFFFFF"/>
        </w:rPr>
        <w:t>：</w:t>
      </w:r>
    </w:p>
    <w:p w14:paraId="7006AF67">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1. 统计年龄段发生率</w:t>
      </w:r>
    </w:p>
    <w:p w14:paraId="4E864C6A">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df['age_group'] = pd.cut(df['Age'], bins=[0, 45, 65, 80, 120], labels=['&lt;45', '45-64', '65-79', '&gt;=80'])</w:t>
      </w:r>
    </w:p>
    <w:p w14:paraId="467550C3">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age_stats = df.groupby('age_group')['AKI_Label'].agg(['count', 'sum', 'mean'])</w:t>
      </w:r>
    </w:p>
    <w:p w14:paraId="74774CAE">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age_stats['mean'] = age_stats['mean'] * 100 # 转化为百分比</w:t>
      </w:r>
    </w:p>
    <w:p w14:paraId="5E0AFE7C">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print(age_stats)</w:t>
      </w:r>
    </w:p>
    <w:p w14:paraId="27867A75">
      <w:pPr>
        <w:pStyle w:val="4"/>
        <w:keepNext w:val="0"/>
        <w:keepLines w:val="0"/>
        <w:widowControl/>
        <w:suppressLineNumbers w:val="0"/>
        <w:ind w:left="720"/>
        <w:rPr>
          <w:i w:val="0"/>
          <w:iCs w:val="0"/>
          <w:caps w:val="0"/>
          <w:color w:val="222222"/>
          <w:spacing w:val="0"/>
          <w:shd w:val="clear" w:fill="FFFFFF"/>
        </w:rPr>
      </w:pPr>
    </w:p>
    <w:p w14:paraId="7FA75230">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2. 统计高血压伴随发生率</w:t>
      </w:r>
    </w:p>
    <w:p w14:paraId="01AB84F8">
      <w:pPr>
        <w:pStyle w:val="4"/>
        <w:keepNext w:val="0"/>
        <w:keepLines w:val="0"/>
        <w:widowControl/>
        <w:suppressLineNumbers w:val="0"/>
        <w:ind w:left="720"/>
      </w:pPr>
      <w:r>
        <w:rPr>
          <w:i w:val="0"/>
          <w:iCs w:val="0"/>
          <w:caps w:val="0"/>
          <w:color w:val="222222"/>
          <w:spacing w:val="0"/>
          <w:shd w:val="clear" w:fill="FFFFFF"/>
        </w:rPr>
        <w:t>print(pd.crosstab(df['Hypertension'], df['AKI_Label'], normalize='index') * 100)</w:t>
      </w:r>
    </w:p>
    <w:p w14:paraId="664F9377">
      <w:pPr>
        <w:keepNext w:val="0"/>
        <w:keepLines w:val="0"/>
        <w:widowControl/>
        <w:numPr>
          <w:ilvl w:val="0"/>
          <w:numId w:val="5"/>
        </w:numPr>
        <w:suppressLineNumbers w:val="0"/>
        <w:spacing w:before="0" w:beforeAutospacing="1" w:after="0" w:afterAutospacing="1"/>
        <w:ind w:left="1440" w:hanging="360"/>
      </w:pPr>
    </w:p>
    <w:p w14:paraId="296D6BFC">
      <w:pPr>
        <w:keepNext w:val="0"/>
        <w:keepLines w:val="0"/>
        <w:widowControl/>
        <w:numPr>
          <w:ilvl w:val="0"/>
          <w:numId w:val="5"/>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R 语言代码实现示例</w:t>
      </w:r>
      <w:r>
        <w:rPr>
          <w:rFonts w:hint="default" w:ascii="Arial" w:hAnsi="Arial" w:cs="Arial"/>
          <w:i w:val="0"/>
          <w:iCs w:val="0"/>
          <w:caps w:val="0"/>
          <w:color w:val="222222"/>
          <w:spacing w:val="0"/>
          <w:sz w:val="24"/>
          <w:szCs w:val="24"/>
          <w:shd w:val="clear" w:fill="FFFFFF"/>
        </w:rPr>
        <w:t>：</w:t>
      </w:r>
    </w:p>
    <w:p w14:paraId="6AD6BBC4">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使用 tidyverse 快速计算疾病亚组发生率</w:t>
      </w:r>
    </w:p>
    <w:p w14:paraId="3A0DE641">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library(dplyr)</w:t>
      </w:r>
    </w:p>
    <w:p w14:paraId="25D7F36F">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df %&gt;%</w:t>
      </w:r>
    </w:p>
    <w:p w14:paraId="4D956B49">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xml:space="preserve">  group_by(CKD_History) %&gt;%</w:t>
      </w:r>
    </w:p>
    <w:p w14:paraId="2625BB9D">
      <w:pPr>
        <w:pStyle w:val="4"/>
        <w:keepNext w:val="0"/>
        <w:keepLines w:val="0"/>
        <w:widowControl/>
        <w:suppressLineNumbers w:val="0"/>
        <w:ind w:left="720"/>
      </w:pPr>
      <w:r>
        <w:rPr>
          <w:i w:val="0"/>
          <w:iCs w:val="0"/>
          <w:caps w:val="0"/>
          <w:color w:val="222222"/>
          <w:spacing w:val="0"/>
          <w:shd w:val="clear" w:fill="FFFFFF"/>
        </w:rPr>
        <w:t xml:space="preserve">  summarise(Total = n(), AKI_Cases = sum(AKI_Label), Rate = mean(AKI_Label) * 100)</w:t>
      </w:r>
    </w:p>
    <w:p w14:paraId="7B080B30">
      <w:pPr>
        <w:keepNext w:val="0"/>
        <w:keepLines w:val="0"/>
        <w:widowControl/>
        <w:numPr>
          <w:ilvl w:val="0"/>
          <w:numId w:val="5"/>
        </w:numPr>
        <w:suppressLineNumbers w:val="0"/>
        <w:spacing w:before="0" w:beforeAutospacing="1" w:after="0" w:afterAutospacing="1"/>
        <w:ind w:left="1440" w:hanging="360"/>
      </w:pPr>
    </w:p>
    <w:p w14:paraId="287CD224">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把这部分深入的流行病学切片数据补充到第三章后，你们的报告框架就彻底完成了</w:t>
      </w:r>
      <w:r>
        <w:rPr>
          <w:rStyle w:val="8"/>
          <w:rFonts w:hint="default" w:ascii="Arial" w:hAnsi="Arial" w:cs="Arial"/>
          <w:i w:val="0"/>
          <w:iCs w:val="0"/>
          <w:caps w:val="0"/>
          <w:color w:val="222222"/>
          <w:spacing w:val="0"/>
          <w:sz w:val="24"/>
          <w:szCs w:val="24"/>
          <w:shd w:val="clear" w:fill="FFFFFF"/>
        </w:rPr>
        <w:t>从“纯粹的数据清洗（第一二章）”到“深度临床特征挖掘（第三章）”，再到“算法精细化建模（第四五章）”的完美逻辑闭环</w:t>
      </w:r>
      <w:r>
        <w:rPr>
          <w:rFonts w:hint="default" w:ascii="Arial" w:hAnsi="Arial" w:cs="Arial"/>
          <w:i w:val="0"/>
          <w:iCs w:val="0"/>
          <w:caps w:val="0"/>
          <w:color w:val="222222"/>
          <w:spacing w:val="0"/>
          <w:sz w:val="24"/>
          <w:szCs w:val="24"/>
          <w:shd w:val="clear" w:fill="FFFFFF"/>
        </w:rPr>
        <w:t>。有了这个地基，后续王若兮同学在 Web 端设计风险分层（如针对 &gt;80 岁且有 CKD 的人直接划分为特高危）就有了绝对的硬数据支持！你们目前正在跑这个分组卡方检验的代码吗？</w:t>
      </w:r>
    </w:p>
    <w:p w14:paraId="2C7ED2D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E0444"/>
    <w:multiLevelType w:val="multilevel"/>
    <w:tmpl w:val="8F0E04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13FE975"/>
    <w:multiLevelType w:val="multilevel"/>
    <w:tmpl w:val="D13FE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7A84FD7"/>
    <w:multiLevelType w:val="multilevel"/>
    <w:tmpl w:val="D7A84F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A5EFEBD"/>
    <w:multiLevelType w:val="multilevel"/>
    <w:tmpl w:val="DA5EFE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78D41E1"/>
    <w:multiLevelType w:val="multilevel"/>
    <w:tmpl w:val="278D4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84DC2"/>
    <w:rsid w:val="64C84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2026-07-05T16:14:00Z</dcterms:created>
  <dc:creator>蓝可</dc:creator>
  <cp:lastModifiedBy>蓝可</cp:lastModifiedBy>
  <dcterms:modified xsi:type="dcterms:W3CDTF">2026-07-05T16:15:49Z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2B47B40AFE2446F6863D8E36BB2E2C67_11</vt:lpwstr>
  </property>
  <property fmtid="{D5CDD505-2E9C-101B-9397-08002B2CF9AE}" pid="4" name="KSOTemplateDocerSaveRecord">
    <vt:lpwstr>eyJoZGlkIjoiMzZmZWQ0NzlmMTllNzlkZGU0NjViNGZhZTgxNzc3NjUiLCJ1c2VySWQiOiIxNzk3MzI3NTg1In0=</vt:lpwstr>
  </property>
</Properties>
</file>