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附件2：</w:t>
        <w:br/>
      </w:r>
      <w:r>
        <w:rPr>
          <w:rFonts w:ascii="宋体" w:hAnsi="宋体" w:eastAsia="宋体"/>
          <w:b/>
          <w:sz w:val="32"/>
        </w:rPr>
        <w:t>第十九届全国大学生信息安全竞赛（作品赛）</w:t>
        <w:br/>
        <w:t>暨第三届“长城杯”网数智安全大赛（作品赛）</w:t>
        <w:br/>
        <w:t>作品报告</w:t>
        <w:br/>
      </w:r>
    </w:p>
    <w:p>
      <w:pPr>
        <w:spacing w:line="360" w:lineRule="auto"/>
      </w:pPr>
      <w:r>
        <w:rPr>
          <w:rFonts w:ascii="宋体" w:hAnsi="宋体" w:eastAsia="宋体"/>
          <w:b w:val="0"/>
          <w:sz w:val="24"/>
        </w:rPr>
        <w:t>作品名称：AgentShield——面向大模型智能体工具调用的安全防护网关</w:t>
      </w:r>
    </w:p>
    <w:p>
      <w:pPr>
        <w:spacing w:line="360" w:lineRule="auto"/>
      </w:pPr>
      <w:r>
        <w:rPr>
          <w:rFonts w:ascii="宋体" w:hAnsi="宋体" w:eastAsia="宋体"/>
          <w:b w:val="0"/>
          <w:sz w:val="24"/>
        </w:rPr>
        <w:t>电子邮箱：（请填写参赛联系邮箱）</w:t>
      </w:r>
    </w:p>
    <w:p>
      <w:pPr>
        <w:spacing w:line="360" w:lineRule="auto"/>
      </w:pPr>
      <w:r>
        <w:rPr>
          <w:rFonts w:ascii="宋体" w:hAnsi="宋体" w:eastAsia="宋体"/>
          <w:b w:val="0"/>
          <w:sz w:val="24"/>
        </w:rPr>
        <w:t>提交日期：2026年6月</w:t>
      </w:r>
    </w:p>
    <w:p>
      <w:pPr>
        <w:spacing w:line="360" w:lineRule="auto"/>
      </w:pPr>
      <w:r>
        <w:rPr>
          <w:rFonts w:ascii="宋体" w:hAnsi="宋体" w:eastAsia="宋体"/>
          <w:b w:val="0"/>
          <w:sz w:val="24"/>
        </w:rPr>
        <w:t>参赛方向：应用安全 / 内容安全（大模型 Agent 工具调用安全）</w:t>
      </w:r>
    </w:p>
    <w:p>
      <w:r>
        <w:br w:type="page"/>
      </w:r>
    </w:p>
    <w:p>
      <w:pPr>
        <w:spacing w:line="360" w:lineRule="auto" w:before="120" w:after="120"/>
        <w:ind w:firstLine="0"/>
      </w:pPr>
      <w:r>
        <w:rPr>
          <w:rFonts w:ascii="宋体" w:hAnsi="宋体" w:eastAsia="宋体"/>
          <w:b/>
          <w:sz w:val="28"/>
        </w:rPr>
        <w:t>目     录</w:t>
      </w:r>
    </w:p>
    <w:p>
      <w:pPr>
        <w:spacing w:line="360" w:lineRule="auto"/>
      </w:pPr>
      <w:r>
        <w:rPr>
          <w:rFonts w:ascii="宋体" w:hAnsi="宋体" w:eastAsia="宋体"/>
          <w:b w:val="0"/>
          <w:sz w:val="24"/>
        </w:rPr>
        <w:t>摘要</w:t>
        <w:tab/>
        <w:t>1</w:t>
      </w:r>
    </w:p>
    <w:p>
      <w:pPr>
        <w:spacing w:line="360" w:lineRule="auto"/>
      </w:pPr>
      <w:r>
        <w:rPr>
          <w:rFonts w:ascii="宋体" w:hAnsi="宋体" w:eastAsia="宋体"/>
          <w:b w:val="0"/>
          <w:sz w:val="24"/>
        </w:rPr>
        <w:t>第一章 作品概述</w:t>
        <w:tab/>
        <w:t>2</w:t>
      </w:r>
    </w:p>
    <w:p>
      <w:pPr>
        <w:spacing w:line="360" w:lineRule="auto"/>
      </w:pPr>
      <w:r>
        <w:rPr>
          <w:rFonts w:ascii="宋体" w:hAnsi="宋体" w:eastAsia="宋体"/>
          <w:b w:val="0"/>
          <w:sz w:val="24"/>
        </w:rPr>
        <w:t>第二章 作品设计与实现</w:t>
        <w:tab/>
        <w:t>4</w:t>
      </w:r>
    </w:p>
    <w:p>
      <w:pPr>
        <w:spacing w:line="360" w:lineRule="auto"/>
      </w:pPr>
      <w:r>
        <w:rPr>
          <w:rFonts w:ascii="宋体" w:hAnsi="宋体" w:eastAsia="宋体"/>
          <w:b w:val="0"/>
          <w:sz w:val="24"/>
        </w:rPr>
        <w:t>第三章 作品测试与分析</w:t>
        <w:tab/>
        <w:t>8</w:t>
      </w:r>
    </w:p>
    <w:p>
      <w:pPr>
        <w:spacing w:line="360" w:lineRule="auto"/>
      </w:pPr>
      <w:r>
        <w:rPr>
          <w:rFonts w:ascii="宋体" w:hAnsi="宋体" w:eastAsia="宋体"/>
          <w:b w:val="0"/>
          <w:sz w:val="24"/>
        </w:rPr>
        <w:t>第四章 创新性说明</w:t>
        <w:tab/>
        <w:t>10</w:t>
      </w:r>
    </w:p>
    <w:p>
      <w:pPr>
        <w:spacing w:line="360" w:lineRule="auto"/>
      </w:pPr>
      <w:r>
        <w:rPr>
          <w:rFonts w:ascii="宋体" w:hAnsi="宋体" w:eastAsia="宋体"/>
          <w:b w:val="0"/>
          <w:sz w:val="24"/>
        </w:rPr>
        <w:t>第五章 总结</w:t>
        <w:tab/>
        <w:t>12</w:t>
      </w:r>
    </w:p>
    <w:p>
      <w:pPr>
        <w:spacing w:line="360" w:lineRule="auto"/>
      </w:pPr>
      <w:r>
        <w:rPr>
          <w:rFonts w:ascii="宋体" w:hAnsi="宋体" w:eastAsia="宋体"/>
          <w:b w:val="0"/>
          <w:sz w:val="24"/>
        </w:rPr>
        <w:t>参考文献</w:t>
        <w:tab/>
        <w:t>13</w:t>
      </w:r>
    </w:p>
    <w:p>
      <w:r>
        <w:br w:type="page"/>
      </w:r>
    </w:p>
    <w:p>
      <w:pPr>
        <w:spacing w:line="360" w:lineRule="auto" w:before="120" w:after="120"/>
        <w:ind w:firstLine="0"/>
      </w:pPr>
      <w:r>
        <w:rPr>
          <w:rFonts w:ascii="宋体" w:hAnsi="宋体" w:eastAsia="宋体"/>
          <w:b/>
          <w:sz w:val="28"/>
        </w:rPr>
        <w:t>摘要</w:t>
      </w:r>
    </w:p>
    <w:p>
      <w:pPr>
        <w:spacing w:line="360" w:lineRule="auto" w:after="0"/>
        <w:ind w:firstLine="420"/>
      </w:pPr>
      <w:r>
        <w:rPr>
          <w:rFonts w:ascii="宋体" w:hAnsi="宋体" w:eastAsia="宋体"/>
          <w:b w:val="0"/>
          <w:sz w:val="24"/>
        </w:rPr>
        <w:t>随着大语言模型与智能体（Agent）技术的广泛应用，AI 系统不再局限于生成文本，而是能够自主规划并调用读文件、查数据库、发邮件、执行命令等外部工具。传统面向聊天输入的提示词防火墙难以覆盖“工具调用层”的新型风险，包括间接提示注入、多步攻击链、角色越权与敏感数据外泄等问题。</w:t>
      </w:r>
    </w:p>
    <w:p>
      <w:pPr>
        <w:spacing w:line="360" w:lineRule="auto" w:after="0"/>
        <w:ind w:firstLine="420"/>
      </w:pPr>
      <w:r>
        <w:rPr>
          <w:rFonts w:ascii="宋体" w:hAnsi="宋体" w:eastAsia="宋体"/>
          <w:b w:val="0"/>
          <w:sz w:val="24"/>
        </w:rPr>
        <w:t>本作品 AgentShield 是一款面向大模型智能体工具调用的安全防护网关。系统以“行为级安全”为核心理念，在 Agent 规划层与沙箱工具之间插入统一安全网关，对每一次工具调用进行角色权限校验、参数规则检测、语义意图识别、工具返回内容二次审查及全链路审计，并输出 allow / mask / confirm / block 四层决策。系统支持校园、个人助手、企业客服三套即插即用策略包，可通过 HTTP API、Python 装饰器、LangChain、MCP 等方式接入主流 Agent 框架，并可在无外部 API 密钥条件下离线完整演示。作品已部署上线演示站点（https://agentshieldtop.xyz），并在 GitHub 开源（https://github.com/kkangtai9607/agentShield），便于评委在线体验与开发者二次集成。</w:t>
      </w:r>
    </w:p>
    <w:p>
      <w:pPr>
        <w:spacing w:line="360" w:lineRule="auto" w:after="0"/>
        <w:ind w:firstLine="420"/>
      </w:pPr>
      <w:r>
        <w:rPr>
          <w:rFonts w:ascii="宋体" w:hAnsi="宋体" w:eastAsia="宋体"/>
          <w:b w:val="0"/>
          <w:sz w:val="24"/>
        </w:rPr>
        <w:t>创新点主要体现在：（1）从“说了什么”升级为“准备执行什么”的行为级拦截；（2）规则引擎与本地语义意图相似度并联，可选 LLM Judge 二次研判；（3）人工确认闭环与完整审计链；（4）多场景策略包与 POLICY_FILE 即插即用。内置 22 条 Benchmark 样本实测检出率 100%、误报率 0%，平均单次策略评估延迟约 2.1 ms，具备工程可落地性与竞赛现场演示价值。</w:t>
      </w:r>
    </w:p>
    <w:p>
      <w:r>
        <w:br w:type="page"/>
      </w:r>
    </w:p>
    <w:p>
      <w:pPr>
        <w:spacing w:line="360" w:lineRule="auto" w:before="120" w:after="120"/>
        <w:ind w:firstLine="0"/>
      </w:pPr>
      <w:r>
        <w:rPr>
          <w:rFonts w:ascii="宋体" w:hAnsi="宋体" w:eastAsia="宋体"/>
          <w:b/>
          <w:sz w:val="28"/>
        </w:rPr>
        <w:t>第一章 作品概述</w:t>
      </w:r>
    </w:p>
    <w:p>
      <w:pPr>
        <w:spacing w:line="360" w:lineRule="auto" w:before="120" w:after="120"/>
      </w:pPr>
      <w:r>
        <w:rPr>
          <w:rFonts w:ascii="宋体" w:hAnsi="宋体" w:eastAsia="宋体"/>
          <w:b/>
          <w:sz w:val="24"/>
        </w:rPr>
        <w:t>1.1 背景分析</w:t>
      </w:r>
    </w:p>
    <w:p>
      <w:pPr>
        <w:spacing w:line="360" w:lineRule="auto" w:after="0"/>
        <w:ind w:firstLine="420"/>
      </w:pPr>
      <w:r>
        <w:rPr>
          <w:rFonts w:ascii="宋体" w:hAnsi="宋体" w:eastAsia="宋体"/>
          <w:b w:val="0"/>
          <w:sz w:val="24"/>
        </w:rPr>
        <w:t>大模型 Agent 通过工具调用（Tool Calling）连接企业内部系统、个人文件与互联网服务，在提升效率的同时也扩大了攻击面。攻击者可通过恶意文档、污染网页、社会工程学话术等方式诱导 Agent 读取密钥、执行破坏性命令或外发敏感数据。OWASP LLM Top 10 将提示注入、不安全输出、敏感信息泄露、过度代理等列为重点风险。现有不少安全产品聚焦用户输入过滤，而对 Agent 已生成的工具调用计划、工具参数及工具返回内容缺乏统一治理，难以应对多步攻击链与编码绕过。</w:t>
      </w:r>
    </w:p>
    <w:p>
      <w:pPr>
        <w:spacing w:line="360" w:lineRule="auto" w:before="120" w:after="120"/>
      </w:pPr>
      <w:r>
        <w:rPr>
          <w:rFonts w:ascii="宋体" w:hAnsi="宋体" w:eastAsia="宋体"/>
          <w:b/>
          <w:sz w:val="24"/>
        </w:rPr>
        <w:t>1.2 相关工作</w:t>
      </w:r>
    </w:p>
    <w:p>
      <w:pPr>
        <w:spacing w:line="360" w:lineRule="auto" w:after="0"/>
        <w:ind w:firstLine="420"/>
      </w:pPr>
      <w:r>
        <w:rPr>
          <w:rFonts w:ascii="宋体" w:hAnsi="宋体" w:eastAsia="宋体"/>
          <w:b w:val="0"/>
          <w:sz w:val="24"/>
        </w:rPr>
        <w:t>相关工作可分为三类：一是聊天入口的 Prompt 防火墙与内容审核，主要检测用户自然语言；二是面向 API 的 WAF/RBAC，缺乏对 Agent 语义规划的理解；三是 Agent 框架内置的少量工具校验，与具体框架强耦合、难以复用。AgentShield 定位为框架无关的安全网关层，借鉴零信任“每次访问均须验证”思想，将每一次工具调用视为独立安全事件，结合 RBAC、规则引擎、语义检查与审计运营能力，填补 Agent 工具调用层的安全空白。</w:t>
      </w:r>
    </w:p>
    <w:p>
      <w:pPr>
        <w:spacing w:line="360" w:lineRule="auto" w:before="120" w:after="120"/>
      </w:pPr>
      <w:r>
        <w:rPr>
          <w:rFonts w:ascii="宋体" w:hAnsi="宋体" w:eastAsia="宋体"/>
          <w:b/>
          <w:sz w:val="24"/>
        </w:rPr>
        <w:t>1.3 特色描述</w:t>
      </w:r>
    </w:p>
    <w:p>
      <w:pPr>
        <w:pStyle w:val="ListBullet"/>
        <w:spacing w:line="360" w:lineRule="auto"/>
      </w:pPr>
      <w:r>
        <w:rPr>
          <w:rFonts w:ascii="宋体" w:hAnsi="宋体" w:eastAsia="宋体"/>
          <w:b w:val="0"/>
          <w:sz w:val="24"/>
        </w:rPr>
        <w:t>行为级安全：拦截对象为 tool_name + tool_args + 用户角色 + 会话上下文，而非仅用户输入。</w:t>
      </w:r>
    </w:p>
    <w:p>
      <w:pPr>
        <w:pStyle w:val="ListBullet"/>
        <w:spacing w:line="360" w:lineRule="auto"/>
      </w:pPr>
      <w:r>
        <w:rPr>
          <w:rFonts w:ascii="宋体" w:hAnsi="宋体" w:eastAsia="宋体"/>
          <w:b w:val="0"/>
          <w:sz w:val="24"/>
        </w:rPr>
        <w:t>四层决策：allow（放行）、mask（脱敏）、confirm（人工确认）、block（阻断）。</w:t>
      </w:r>
    </w:p>
    <w:p>
      <w:pPr>
        <w:pStyle w:val="ListBullet"/>
        <w:spacing w:line="360" w:lineRule="auto"/>
      </w:pPr>
      <w:r>
        <w:rPr>
          <w:rFonts w:ascii="宋体" w:hAnsi="宋体" w:eastAsia="宋体"/>
          <w:b w:val="0"/>
          <w:sz w:val="24"/>
        </w:rPr>
        <w:t>多场景策略包：校园 / 个人 / 企业一键切换，策略与代码解耦。</w:t>
      </w:r>
    </w:p>
    <w:p>
      <w:pPr>
        <w:pStyle w:val="ListBullet"/>
        <w:spacing w:line="360" w:lineRule="auto"/>
      </w:pPr>
      <w:r>
        <w:rPr>
          <w:rFonts w:ascii="宋体" w:hAnsi="宋体" w:eastAsia="宋体"/>
          <w:b w:val="0"/>
          <w:sz w:val="24"/>
        </w:rPr>
        <w:t>即插即用集成：HTTP evaluate API、Python 装饰器、LangChain、MCP 四种接入方式。</w:t>
      </w:r>
    </w:p>
    <w:p>
      <w:pPr>
        <w:pStyle w:val="ListBullet"/>
        <w:spacing w:line="360" w:lineRule="auto"/>
      </w:pPr>
      <w:r>
        <w:rPr>
          <w:rFonts w:ascii="宋体" w:hAnsi="宋体" w:eastAsia="宋体"/>
          <w:b w:val="0"/>
          <w:sz w:val="24"/>
        </w:rPr>
        <w:t>离线可演示：Mock 计划引擎 + 沙箱工具，答辩现场无需外网 API。</w:t>
      </w:r>
    </w:p>
    <w:p>
      <w:pPr>
        <w:pStyle w:val="ListBullet"/>
        <w:spacing w:line="360" w:lineRule="auto"/>
      </w:pPr>
      <w:r>
        <w:rPr>
          <w:rFonts w:ascii="宋体" w:hAnsi="宋体" w:eastAsia="宋体"/>
          <w:b w:val="0"/>
          <w:sz w:val="24"/>
        </w:rPr>
        <w:t>已上线演示：https://agentshieldtop.xyz，评委零配置访问「快速集成 → 在线试集成」。</w:t>
      </w:r>
    </w:p>
    <w:p>
      <w:pPr>
        <w:pStyle w:val="ListBullet"/>
        <w:spacing w:line="360" w:lineRule="auto"/>
      </w:pPr>
      <w:r>
        <w:rPr>
          <w:rFonts w:ascii="宋体" w:hAnsi="宋体" w:eastAsia="宋体"/>
          <w:b w:val="0"/>
          <w:sz w:val="24"/>
        </w:rPr>
        <w:t>开源可复现：https://github.com/kkangtai9607/agentShield，支持 git clone 后嵌入模式本地集成。</w:t>
      </w:r>
    </w:p>
    <w:p>
      <w:pPr>
        <w:spacing w:line="360" w:lineRule="auto" w:before="120" w:after="120"/>
      </w:pPr>
      <w:r>
        <w:rPr>
          <w:rFonts w:ascii="宋体" w:hAnsi="宋体" w:eastAsia="宋体"/>
          <w:b/>
          <w:sz w:val="24"/>
        </w:rPr>
        <w:t>1.4 应用前景</w:t>
      </w:r>
    </w:p>
    <w:p>
      <w:pPr>
        <w:spacing w:line="360" w:lineRule="auto" w:after="0"/>
        <w:ind w:firstLine="420"/>
      </w:pPr>
      <w:r>
        <w:rPr>
          <w:rFonts w:ascii="宋体" w:hAnsi="宋体" w:eastAsia="宋体"/>
          <w:b w:val="0"/>
          <w:sz w:val="24"/>
        </w:rPr>
        <w:t>AgentShield 可部署于教育科研平台的教学 Agent、个人知识助手、企业客服/工单 Agent、低代码 Agent 平台等场景。用户通过 POLICY_FILE 配置自有角色与工具权限即可落地，适用于对数据外发、命令执行、数据库查询有合规要求的行业环境。当前已通过阿里云轻量服务器完成生产部署，演示地址 https://agentshieldtop.xyz，源码托管于 https://github.com/kkangtai9607/agentShield。</w:t>
      </w:r>
    </w:p>
    <w:p>
      <w:r>
        <w:br w:type="page"/>
      </w:r>
    </w:p>
    <w:p>
      <w:pPr>
        <w:spacing w:line="360" w:lineRule="auto" w:before="120" w:after="120"/>
        <w:ind w:firstLine="0"/>
      </w:pPr>
      <w:r>
        <w:rPr>
          <w:rFonts w:ascii="宋体" w:hAnsi="宋体" w:eastAsia="宋体"/>
          <w:b/>
          <w:sz w:val="28"/>
        </w:rPr>
        <w:t>第二章 作品设计与实现</w:t>
      </w:r>
    </w:p>
    <w:p>
      <w:pPr>
        <w:spacing w:line="360" w:lineRule="auto" w:before="120" w:after="120"/>
      </w:pPr>
      <w:r>
        <w:rPr>
          <w:rFonts w:ascii="宋体" w:hAnsi="宋体" w:eastAsia="宋体"/>
          <w:b/>
          <w:sz w:val="24"/>
        </w:rPr>
        <w:t>2.1 系统总体方案</w:t>
      </w:r>
    </w:p>
    <w:p>
      <w:pPr>
        <w:spacing w:line="360" w:lineRule="auto" w:after="0"/>
        <w:ind w:firstLine="420"/>
      </w:pPr>
      <w:r>
        <w:rPr>
          <w:rFonts w:ascii="宋体" w:hAnsi="宋体" w:eastAsia="宋体"/>
          <w:b w:val="0"/>
          <w:sz w:val="24"/>
        </w:rPr>
        <w:t>系统采用前后端分离架构。后端基于 FastAPI 提供安全网关与 REST API；前端基于 React + TypeScript + Ant Design 实现可视化演示台。核心数据流为：用户输入 → Agent 规划（Mock/LLM）→ 工具调用计划 → AgentShield Gateway → Policy Engine + Semantic Checker → 决策执行 → Content Guard → SQLite 审计 → 前端展示。</w:t>
      </w:r>
    </w:p>
    <w:p>
      <w:pPr>
        <w:spacing w:line="360" w:lineRule="auto" w:after="0"/>
        <w:ind w:firstLine="420"/>
      </w:pPr>
      <w:r>
        <w:rPr>
          <w:rFonts w:ascii="宋体" w:hAnsi="宋体" w:eastAsia="宋体"/>
          <w:b w:val="0"/>
          <w:sz w:val="24"/>
        </w:rPr>
        <w:t>信任边界设定为：Agent 规划层不可信；工具参数与工具返回均视为不可信输入。所有外部能力调用必须经网关评估后方可执行（confirm 类型需人工批准）。</w:t>
      </w:r>
    </w:p>
    <w:p>
      <w:pPr>
        <w:spacing w:line="360" w:lineRule="auto" w:before="120" w:after="120"/>
      </w:pPr>
      <w:r>
        <w:rPr>
          <w:rFonts w:ascii="宋体" w:hAnsi="宋体" w:eastAsia="宋体"/>
          <w:b/>
          <w:sz w:val="24"/>
        </w:rPr>
        <w:t>2.2 软件模块设计</w:t>
      </w:r>
    </w:p>
    <w:p>
      <w:pPr>
        <w:spacing w:line="360" w:lineRule="auto" w:after="0"/>
      </w:pPr>
      <w:r>
        <w:rPr>
          <w:rFonts w:ascii="宋体" w:hAnsi="宋体" w:eastAsia="宋体"/>
          <w:b w:val="0"/>
          <w:sz w:val="24"/>
        </w:rPr>
        <w:t>后端核心模块如下：</w:t>
      </w:r>
    </w:p>
    <w:p>
      <w:pPr>
        <w:pStyle w:val="ListBullet"/>
        <w:spacing w:line="360" w:lineRule="auto"/>
      </w:pPr>
      <w:r>
        <w:rPr>
          <w:rFonts w:ascii="宋体" w:hAnsi="宋体" w:eastAsia="宋体"/>
          <w:b w:val="0"/>
          <w:sz w:val="24"/>
        </w:rPr>
        <w:t>Shield Gateway（gateway.py）：统一拦截入口，负责评估、执行、审计与 confirm 闭环。</w:t>
      </w:r>
    </w:p>
    <w:p>
      <w:pPr>
        <w:pStyle w:val="ListBullet"/>
        <w:spacing w:line="360" w:lineRule="auto"/>
      </w:pPr>
      <w:r>
        <w:rPr>
          <w:rFonts w:ascii="宋体" w:hAnsi="宋体" w:eastAsia="宋体"/>
          <w:b w:val="0"/>
          <w:sz w:val="24"/>
        </w:rPr>
        <w:t>Policy Engine（policy_engine.py）：RBAC、敏感路径、危险 SQL/Shell、邮件外发、浏览器 URL 等规则评分。</w:t>
      </w:r>
    </w:p>
    <w:p>
      <w:pPr>
        <w:pStyle w:val="ListBullet"/>
        <w:spacing w:line="360" w:lineRule="auto"/>
      </w:pPr>
      <w:r>
        <w:rPr>
          <w:rFonts w:ascii="宋体" w:hAnsi="宋体" w:eastAsia="宋体"/>
          <w:b w:val="0"/>
          <w:sz w:val="24"/>
        </w:rPr>
        <w:t>Semantic Checker（semantic_checker.py）：基于意图库与文本相似度的语义风险检测，可选 LLM Judge。</w:t>
      </w:r>
    </w:p>
    <w:p>
      <w:pPr>
        <w:pStyle w:val="ListBullet"/>
        <w:spacing w:line="360" w:lineRule="auto"/>
      </w:pPr>
      <w:r>
        <w:rPr>
          <w:rFonts w:ascii="宋体" w:hAnsi="宋体" w:eastAsia="宋体"/>
          <w:b w:val="0"/>
          <w:sz w:val="24"/>
        </w:rPr>
        <w:t>Normalize（normalize.py）：全角/零宽/路径/SQL 规范化，降低编码绕过风险。</w:t>
      </w:r>
    </w:p>
    <w:p>
      <w:pPr>
        <w:pStyle w:val="ListBullet"/>
        <w:spacing w:line="360" w:lineRule="auto"/>
      </w:pPr>
      <w:r>
        <w:rPr>
          <w:rFonts w:ascii="宋体" w:hAnsi="宋体" w:eastAsia="宋体"/>
          <w:b w:val="0"/>
          <w:sz w:val="24"/>
        </w:rPr>
        <w:t>Content Guard（content_guard.py）：对工具返回做注入、敏感信息与语义二次检测。</w:t>
      </w:r>
    </w:p>
    <w:p>
      <w:pPr>
        <w:pStyle w:val="ListBullet"/>
        <w:spacing w:line="360" w:lineRule="auto"/>
      </w:pPr>
      <w:r>
        <w:rPr>
          <w:rFonts w:ascii="宋体" w:hAnsi="宋体" w:eastAsia="宋体"/>
          <w:b w:val="0"/>
          <w:sz w:val="24"/>
        </w:rPr>
        <w:t>Profile Manager：校园 campus、个人 personal、企业 enterprise 三套 YAML 策略包热切换。</w:t>
      </w:r>
    </w:p>
    <w:p>
      <w:pPr>
        <w:pStyle w:val="ListBullet"/>
        <w:spacing w:line="360" w:lineRule="auto"/>
      </w:pPr>
      <w:r>
        <w:rPr>
          <w:rFonts w:ascii="宋体" w:hAnsi="宋体" w:eastAsia="宋体"/>
          <w:b w:val="0"/>
          <w:sz w:val="24"/>
        </w:rPr>
        <w:t>Benchmark Runner：22 条标准化样本与评委现场自拟 evaluate 接口。</w:t>
      </w:r>
    </w:p>
    <w:p>
      <w:pPr>
        <w:pStyle w:val="ListBullet"/>
        <w:spacing w:line="360" w:lineRule="auto"/>
      </w:pPr>
      <w:r>
        <w:rPr>
          <w:rFonts w:ascii="宋体" w:hAnsi="宋体" w:eastAsia="宋体"/>
          <w:b w:val="0"/>
          <w:sz w:val="24"/>
        </w:rPr>
        <w:t>Integration：wrapper 装饰器、sdk HTTP 客户端、LangChain Tools、MCP Server。</w:t>
      </w:r>
    </w:p>
    <w:p>
      <w:pPr>
        <w:spacing w:line="360" w:lineRule="auto" w:before="120" w:after="120"/>
      </w:pPr>
      <w:r>
        <w:rPr>
          <w:rFonts w:ascii="宋体" w:hAnsi="宋体" w:eastAsia="宋体"/>
          <w:b/>
          <w:sz w:val="24"/>
        </w:rPr>
        <w:t>2.3 策略与决策机制</w:t>
      </w:r>
    </w:p>
    <w:p>
      <w:pPr>
        <w:spacing w:line="360" w:lineRule="auto" w:after="0"/>
        <w:ind w:firstLine="420"/>
      </w:pPr>
      <w:r>
        <w:rPr>
          <w:rFonts w:ascii="宋体" w:hAnsi="宋体" w:eastAsia="宋体"/>
          <w:b w:val="0"/>
          <w:sz w:val="24"/>
        </w:rPr>
        <w:t>策略文件（YAML）定义 role_permissions（allow/deny/confirm）、tool_risk_level、sensitive_paths、dangerous_sql_patterns、dangerous_shell_patterns、prompt_injection_patterns、external_email_domains、decision_thresholds 等字段。引擎对每次调用累加风险分，并与角色权限决策取最严结果。风险分区间映射为：0–29 allow、30–59 mask、60–79 confirm、80–100 block。</w:t>
      </w:r>
    </w:p>
    <w:p>
      <w:pPr>
        <w:spacing w:line="360" w:lineRule="auto" w:after="0"/>
        <w:ind w:firstLine="420"/>
      </w:pPr>
      <w:r>
        <w:rPr>
          <w:rFonts w:ascii="宋体" w:hAnsi="宋体" w:eastAsia="宋体"/>
          <w:b w:val="0"/>
          <w:sz w:val="24"/>
        </w:rPr>
        <w:t>语义检查默认采用 local 模式：加载 semantic_intents.yaml 中四类意图（提示注入、数据外泄、越权访问、破坏性操作），通过双字片段召回、Jaccard 相似度与最长公共子序列计算与用户输入/工具参数的相似度；配置 SEMANTIC_CHECK_MODE=llm 且提供 API Key 时，可启用大模型 Judge 二次研判并自动回退本地模式。</w:t>
      </w:r>
    </w:p>
    <w:p>
      <w:pPr>
        <w:spacing w:line="360" w:lineRule="auto" w:before="120" w:after="120"/>
      </w:pPr>
      <w:r>
        <w:rPr>
          <w:rFonts w:ascii="宋体" w:hAnsi="宋体" w:eastAsia="宋体"/>
          <w:b/>
          <w:sz w:val="24"/>
        </w:rPr>
        <w:t>2.4 前端功能</w:t>
      </w:r>
    </w:p>
    <w:p>
      <w:pPr>
        <w:pStyle w:val="ListBullet"/>
        <w:spacing w:line="360" w:lineRule="auto"/>
      </w:pPr>
      <w:r>
        <w:rPr>
          <w:rFonts w:ascii="宋体" w:hAnsi="宋体" w:eastAsia="宋体"/>
          <w:b w:val="0"/>
          <w:sz w:val="24"/>
        </w:rPr>
        <w:t>Agent 对话：完整展示计划、决策、时间线、风险解释与人工确认按钮。</w:t>
      </w:r>
    </w:p>
    <w:p>
      <w:pPr>
        <w:pStyle w:val="ListBullet"/>
        <w:spacing w:line="360" w:lineRule="auto"/>
      </w:pPr>
      <w:r>
        <w:rPr>
          <w:rFonts w:ascii="宋体" w:hAnsi="宋体" w:eastAsia="宋体"/>
          <w:b w:val="0"/>
          <w:sz w:val="24"/>
        </w:rPr>
        <w:t>策略中心：场景切换、策略可视化、在线编辑与热重载。</w:t>
      </w:r>
    </w:p>
    <w:p>
      <w:pPr>
        <w:pStyle w:val="ListBullet"/>
        <w:spacing w:line="360" w:lineRule="auto"/>
      </w:pPr>
      <w:r>
        <w:rPr>
          <w:rFonts w:ascii="宋体" w:hAnsi="宋体" w:eastAsia="宋体"/>
          <w:b w:val="0"/>
          <w:sz w:val="24"/>
        </w:rPr>
        <w:t>攻击演示：恶意文档、网页污染、数据库越权、危险命令四剧本一键运行。</w:t>
      </w:r>
    </w:p>
    <w:p>
      <w:pPr>
        <w:pStyle w:val="ListBullet"/>
        <w:spacing w:line="360" w:lineRule="auto"/>
      </w:pPr>
      <w:r>
        <w:rPr>
          <w:rFonts w:ascii="宋体" w:hAnsi="宋体" w:eastAsia="宋体"/>
          <w:b w:val="0"/>
          <w:sz w:val="24"/>
        </w:rPr>
        <w:t>Benchmark：固定样本跑分与评委现场单条评估。</w:t>
      </w:r>
    </w:p>
    <w:p>
      <w:pPr>
        <w:pStyle w:val="ListBullet"/>
        <w:spacing w:line="360" w:lineRule="auto"/>
      </w:pPr>
      <w:r>
        <w:rPr>
          <w:rFonts w:ascii="宋体" w:hAnsi="宋体" w:eastAsia="宋体"/>
          <w:b w:val="0"/>
          <w:sz w:val="24"/>
        </w:rPr>
        <w:t>审计日志：筛选、详情、CSV 导出及待确认记录处理。</w:t>
      </w:r>
    </w:p>
    <w:p>
      <w:pPr>
        <w:pStyle w:val="ListBullet"/>
        <w:spacing w:line="360" w:lineRule="auto"/>
      </w:pPr>
      <w:r>
        <w:rPr>
          <w:rFonts w:ascii="宋体" w:hAnsi="宋体" w:eastAsia="宋体"/>
          <w:b w:val="0"/>
          <w:sz w:val="24"/>
        </w:rPr>
        <w:t>框架演示 / 快速集成：LangChain、MCP 演示与接入文档，在线试集成与开源仓库（https://github.com/kkangtai9607/agentShield）说明。</w:t>
      </w:r>
    </w:p>
    <w:p>
      <w:pPr>
        <w:spacing w:line="360" w:lineRule="auto" w:before="120" w:after="120"/>
      </w:pPr>
      <w:r>
        <w:rPr>
          <w:rFonts w:ascii="宋体" w:hAnsi="宋体" w:eastAsia="宋体"/>
          <w:b/>
          <w:sz w:val="24"/>
        </w:rPr>
        <w:t>2.5 关键技术指标</w:t>
      </w:r>
    </w:p>
    <w:p>
      <w:pPr>
        <w:pStyle w:val="ListBullet"/>
        <w:spacing w:line="360" w:lineRule="auto"/>
      </w:pPr>
      <w:r>
        <w:rPr>
          <w:rFonts w:ascii="宋体" w:hAnsi="宋体" w:eastAsia="宋体"/>
          <w:b w:val="0"/>
          <w:sz w:val="24"/>
        </w:rPr>
        <w:t>支持工具类型：read_file、query_db、send_email、run_shell、browser_mock（均可扩展）。</w:t>
      </w:r>
    </w:p>
    <w:p>
      <w:pPr>
        <w:pStyle w:val="ListBullet"/>
        <w:spacing w:line="360" w:lineRule="auto"/>
      </w:pPr>
      <w:r>
        <w:rPr>
          <w:rFonts w:ascii="宋体" w:hAnsi="宋体" w:eastAsia="宋体"/>
          <w:b w:val="0"/>
          <w:sz w:val="24"/>
        </w:rPr>
        <w:t>鉴权：JWT（HS256），角色由服务端签发，防止客户端伪造 user_role。</w:t>
      </w:r>
    </w:p>
    <w:p>
      <w:pPr>
        <w:pStyle w:val="ListBullet"/>
        <w:spacing w:line="360" w:lineRule="auto"/>
      </w:pPr>
      <w:r>
        <w:rPr>
          <w:rFonts w:ascii="宋体" w:hAnsi="宋体" w:eastAsia="宋体"/>
          <w:b w:val="0"/>
          <w:sz w:val="24"/>
        </w:rPr>
        <w:t>数据库：SQLite 全链路审计，记录风险分、决策、原因与结果预览。</w:t>
      </w:r>
    </w:p>
    <w:p>
      <w:pPr>
        <w:pStyle w:val="ListBullet"/>
        <w:spacing w:line="360" w:lineRule="auto"/>
      </w:pPr>
      <w:r>
        <w:rPr>
          <w:rFonts w:ascii="宋体" w:hAnsi="宋体" w:eastAsia="宋体"/>
          <w:b w:val="0"/>
          <w:sz w:val="24"/>
        </w:rPr>
        <w:t>Benchmark 平均评估延迟：约 2.1 ms/条（本地 campus 策略实测）。</w:t>
      </w:r>
    </w:p>
    <w:p>
      <w:pPr>
        <w:pStyle w:val="ListBullet"/>
        <w:spacing w:line="360" w:lineRule="auto"/>
      </w:pPr>
      <w:r>
        <w:rPr>
          <w:rFonts w:ascii="宋体" w:hAnsi="宋体" w:eastAsia="宋体"/>
          <w:b w:val="0"/>
          <w:sz w:val="24"/>
        </w:rPr>
        <w:t>自动化测试：51 条 pytest 用例覆盖策略、绕过、confirm、语义、鉴权等。</w:t>
      </w:r>
    </w:p>
    <w:p>
      <w:pPr>
        <w:pStyle w:val="ListBullet"/>
        <w:spacing w:line="360" w:lineRule="auto"/>
      </w:pPr>
      <w:r>
        <w:rPr>
          <w:rFonts w:ascii="宋体" w:hAnsi="宋体" w:eastAsia="宋体"/>
          <w:b w:val="0"/>
          <w:sz w:val="24"/>
        </w:rPr>
        <w:t>生产部署：nginx + systemd，域名 https://agentshieldtop.xyz，后端 127.0.0.1:8001 仅本机反代。</w:t>
      </w:r>
    </w:p>
    <w:p>
      <w:pPr>
        <w:pStyle w:val="ListBullet"/>
        <w:spacing w:line="360" w:lineRule="auto"/>
      </w:pPr>
      <w:r>
        <w:rPr>
          <w:rFonts w:ascii="宋体" w:hAnsi="宋体" w:eastAsia="宋体"/>
          <w:b w:val="0"/>
          <w:sz w:val="24"/>
        </w:rPr>
        <w:t>开源仓库：https://github.com/kkangtai9607/agentShield，含 deploy 脚本与 INTEGRATION.md 集成指南。</w:t>
      </w:r>
    </w:p>
    <w:p>
      <w:r>
        <w:br w:type="page"/>
      </w:r>
    </w:p>
    <w:p>
      <w:pPr>
        <w:spacing w:line="360" w:lineRule="auto" w:before="120" w:after="120"/>
        <w:ind w:firstLine="0"/>
      </w:pPr>
      <w:r>
        <w:rPr>
          <w:rFonts w:ascii="宋体" w:hAnsi="宋体" w:eastAsia="宋体"/>
          <w:b/>
          <w:sz w:val="28"/>
        </w:rPr>
        <w:t>第三章 作品测试与分析</w:t>
      </w:r>
    </w:p>
    <w:p>
      <w:pPr>
        <w:spacing w:line="360" w:lineRule="auto" w:before="120" w:after="120"/>
      </w:pPr>
      <w:r>
        <w:rPr>
          <w:rFonts w:ascii="宋体" w:hAnsi="宋体" w:eastAsia="宋体"/>
          <w:b/>
          <w:sz w:val="24"/>
        </w:rPr>
        <w:t>3.1 测试方案</w:t>
      </w:r>
    </w:p>
    <w:p>
      <w:pPr>
        <w:spacing w:line="360" w:lineRule="auto" w:after="0"/>
        <w:ind w:firstLine="420"/>
      </w:pPr>
      <w:r>
        <w:rPr>
          <w:rFonts w:ascii="宋体" w:hAnsi="宋体" w:eastAsia="宋体"/>
          <w:b w:val="0"/>
          <w:sz w:val="24"/>
        </w:rPr>
        <w:t>测试分为四个层次：（1）单元测试：策略引擎、规范化、语义相似度、JWT 鉴权；（2）场景测试：四内置攻击剧本端到端阻断；（3）Benchmark 测试：22 条标注样本（normal/attack/bypass）自动跑分；（4）人工演示测试：三场景策略包切换、人工 confirm 闭环、LangChain/MCP 接入演示。</w:t>
      </w:r>
    </w:p>
    <w:p>
      <w:pPr>
        <w:spacing w:line="360" w:lineRule="auto" w:before="120" w:after="120"/>
      </w:pPr>
      <w:r>
        <w:rPr>
          <w:rFonts w:ascii="宋体" w:hAnsi="宋体" w:eastAsia="宋体"/>
          <w:b/>
          <w:sz w:val="24"/>
        </w:rPr>
        <w:t>3.2 测试环境</w:t>
      </w:r>
    </w:p>
    <w:p>
      <w:pPr>
        <w:pStyle w:val="ListBullet"/>
        <w:spacing w:line="360" w:lineRule="auto"/>
      </w:pPr>
      <w:r>
        <w:rPr>
          <w:rFonts w:ascii="宋体" w:hAnsi="宋体" w:eastAsia="宋体"/>
          <w:b w:val="0"/>
          <w:sz w:val="24"/>
        </w:rPr>
        <w:t>操作系统：Linux；Python 3.11；Node.js 18+。</w:t>
      </w:r>
    </w:p>
    <w:p>
      <w:pPr>
        <w:pStyle w:val="ListBullet"/>
        <w:spacing w:line="360" w:lineRule="auto"/>
      </w:pPr>
      <w:r>
        <w:rPr>
          <w:rFonts w:ascii="宋体" w:hAnsi="宋体" w:eastAsia="宋体"/>
          <w:b w:val="0"/>
          <w:sz w:val="24"/>
        </w:rPr>
        <w:t>本地开发：FastAPI + Uvicorn + Vite 开发服务器。</w:t>
      </w:r>
    </w:p>
    <w:p>
      <w:pPr>
        <w:pStyle w:val="ListBullet"/>
        <w:spacing w:line="360" w:lineRule="auto"/>
      </w:pPr>
      <w:r>
        <w:rPr>
          <w:rFonts w:ascii="宋体" w:hAnsi="宋体" w:eastAsia="宋体"/>
          <w:b w:val="0"/>
          <w:sz w:val="24"/>
        </w:rPr>
        <w:t>线上环境：阿里云轻量服务器，HTTPS 站点 https://agentshieldtop.xyz，nginx 反代 + Let's Encrypt。</w:t>
      </w:r>
    </w:p>
    <w:p>
      <w:pPr>
        <w:pStyle w:val="ListBullet"/>
        <w:spacing w:line="360" w:lineRule="auto"/>
      </w:pPr>
      <w:r>
        <w:rPr>
          <w:rFonts w:ascii="宋体" w:hAnsi="宋体" w:eastAsia="宋体"/>
          <w:b w:val="0"/>
          <w:sz w:val="24"/>
        </w:rPr>
        <w:t>后端：FastAPI + Uvicorn（生产单 worker），默认 USE_MOCK_LLM=true。</w:t>
      </w:r>
    </w:p>
    <w:p>
      <w:pPr>
        <w:pStyle w:val="ListBullet"/>
        <w:spacing w:line="360" w:lineRule="auto"/>
      </w:pPr>
      <w:r>
        <w:rPr>
          <w:rFonts w:ascii="宋体" w:hAnsi="宋体" w:eastAsia="宋体"/>
          <w:b w:val="0"/>
          <w:sz w:val="24"/>
        </w:rPr>
        <w:t>数据库：SQLite 本地文件 agentshield.db。</w:t>
      </w:r>
    </w:p>
    <w:p>
      <w:pPr>
        <w:spacing w:line="360" w:lineRule="auto" w:before="120" w:after="120"/>
      </w:pPr>
      <w:r>
        <w:rPr>
          <w:rFonts w:ascii="宋体" w:hAnsi="宋体" w:eastAsia="宋体"/>
          <w:b/>
          <w:sz w:val="24"/>
        </w:rPr>
        <w:t>3.3 Benchmark 结果</w:t>
      </w:r>
    </w:p>
    <w:p>
      <w:pPr>
        <w:spacing w:line="360" w:lineRule="auto" w:after="0"/>
        <w:ind w:firstLine="420"/>
      </w:pPr>
      <w:r>
        <w:rPr>
          <w:rFonts w:ascii="宋体" w:hAnsi="宋体" w:eastAsia="宋体"/>
          <w:b w:val="0"/>
          <w:sz w:val="24"/>
        </w:rPr>
        <w:t>Benchmark 样本集共 22 条，其中 normal 5 条、attack 9 条、bypass 8 条。bypass 类专门覆盖空格/全角/零宽字符/SQL 注释/路径变体等规则绕过手法。在当前默认校园策略下实测结果如下：</w:t>
      </w:r>
    </w:p>
    <w:tbl>
      <w:tblPr>
        <w:tblStyle w:val="TableGrid"/>
        <w:tblW w:type="auto" w:w="0"/>
        <w:tblLook w:firstColumn="1" w:firstRow="1" w:lastColumn="0" w:lastRow="0" w:noHBand="0" w:noVBand="1" w:val="04A0"/>
      </w:tblPr>
      <w:tblGrid>
        <w:gridCol w:w="4513"/>
        <w:gridCol w:w="4513"/>
      </w:tblGrid>
      <w:tr>
        <w:tc>
          <w:tcPr>
            <w:tcW w:type="dxa" w:w="4513"/>
          </w:tcPr>
          <w:p>
            <w:r>
              <w:rPr>
                <w:rFonts w:ascii="宋体" w:hAnsi="宋体" w:eastAsia="宋体"/>
                <w:b/>
                <w:sz w:val="24"/>
              </w:rPr>
              <w:t>指标</w:t>
            </w:r>
          </w:p>
        </w:tc>
        <w:tc>
          <w:tcPr>
            <w:tcW w:type="dxa" w:w="4513"/>
          </w:tcPr>
          <w:p>
            <w:r>
              <w:rPr>
                <w:rFonts w:ascii="宋体" w:hAnsi="宋体" w:eastAsia="宋体"/>
                <w:b/>
                <w:sz w:val="24"/>
              </w:rPr>
              <w:t>结果</w:t>
            </w:r>
          </w:p>
        </w:tc>
      </w:tr>
      <w:tr>
        <w:tc>
          <w:tcPr>
            <w:tcW w:type="dxa" w:w="4513"/>
          </w:tcPr>
          <w:p>
            <w:r>
              <w:rPr>
                <w:rFonts w:ascii="宋体" w:hAnsi="宋体" w:eastAsia="宋体"/>
                <w:b w:val="0"/>
                <w:sz w:val="24"/>
              </w:rPr>
              <w:t>总样本数</w:t>
            </w:r>
          </w:p>
        </w:tc>
        <w:tc>
          <w:tcPr>
            <w:tcW w:type="dxa" w:w="4513"/>
          </w:tcPr>
          <w:p>
            <w:r>
              <w:rPr>
                <w:rFonts w:ascii="宋体" w:hAnsi="宋体" w:eastAsia="宋体"/>
                <w:b w:val="0"/>
                <w:sz w:val="24"/>
              </w:rPr>
              <w:t>22</w:t>
            </w:r>
          </w:p>
        </w:tc>
      </w:tr>
      <w:tr>
        <w:tc>
          <w:tcPr>
            <w:tcW w:type="dxa" w:w="4513"/>
          </w:tcPr>
          <w:p>
            <w:r>
              <w:rPr>
                <w:rFonts w:ascii="宋体" w:hAnsi="宋体" w:eastAsia="宋体"/>
                <w:b w:val="0"/>
                <w:sz w:val="24"/>
              </w:rPr>
              <w:t>检出率</w:t>
            </w:r>
          </w:p>
        </w:tc>
        <w:tc>
          <w:tcPr>
            <w:tcW w:type="dxa" w:w="4513"/>
          </w:tcPr>
          <w:p>
            <w:r>
              <w:rPr>
                <w:rFonts w:ascii="宋体" w:hAnsi="宋体" w:eastAsia="宋体"/>
                <w:b w:val="0"/>
                <w:sz w:val="24"/>
              </w:rPr>
              <w:t>100.0%</w:t>
            </w:r>
          </w:p>
        </w:tc>
      </w:tr>
      <w:tr>
        <w:tc>
          <w:tcPr>
            <w:tcW w:type="dxa" w:w="4513"/>
          </w:tcPr>
          <w:p>
            <w:r>
              <w:rPr>
                <w:rFonts w:ascii="宋体" w:hAnsi="宋体" w:eastAsia="宋体"/>
                <w:b w:val="0"/>
                <w:sz w:val="24"/>
              </w:rPr>
              <w:t>误报率</w:t>
            </w:r>
          </w:p>
        </w:tc>
        <w:tc>
          <w:tcPr>
            <w:tcW w:type="dxa" w:w="4513"/>
          </w:tcPr>
          <w:p>
            <w:r>
              <w:rPr>
                <w:rFonts w:ascii="宋体" w:hAnsi="宋体" w:eastAsia="宋体"/>
                <w:b w:val="0"/>
                <w:sz w:val="24"/>
              </w:rPr>
              <w:t>0.0%</w:t>
            </w:r>
          </w:p>
        </w:tc>
      </w:tr>
      <w:tr>
        <w:tc>
          <w:tcPr>
            <w:tcW w:type="dxa" w:w="4513"/>
          </w:tcPr>
          <w:p>
            <w:r>
              <w:rPr>
                <w:rFonts w:ascii="宋体" w:hAnsi="宋体" w:eastAsia="宋体"/>
                <w:b w:val="0"/>
                <w:sz w:val="24"/>
              </w:rPr>
              <w:t>分类通过率</w:t>
            </w:r>
          </w:p>
        </w:tc>
        <w:tc>
          <w:tcPr>
            <w:tcW w:type="dxa" w:w="4513"/>
          </w:tcPr>
          <w:p>
            <w:r>
              <w:rPr>
                <w:rFonts w:ascii="宋体" w:hAnsi="宋体" w:eastAsia="宋体"/>
                <w:b w:val="0"/>
                <w:sz w:val="24"/>
              </w:rPr>
              <w:t>normal 5/5，attack 9/9，bypass 8/8</w:t>
            </w:r>
          </w:p>
        </w:tc>
      </w:tr>
      <w:tr>
        <w:tc>
          <w:tcPr>
            <w:tcW w:type="dxa" w:w="4513"/>
          </w:tcPr>
          <w:p>
            <w:r>
              <w:rPr>
                <w:rFonts w:ascii="宋体" w:hAnsi="宋体" w:eastAsia="宋体"/>
                <w:b w:val="0"/>
                <w:sz w:val="24"/>
              </w:rPr>
              <w:t>平均延迟</w:t>
            </w:r>
          </w:p>
        </w:tc>
        <w:tc>
          <w:tcPr>
            <w:tcW w:type="dxa" w:w="4513"/>
          </w:tcPr>
          <w:p>
            <w:r>
              <w:rPr>
                <w:rFonts w:ascii="宋体" w:hAnsi="宋体" w:eastAsia="宋体"/>
                <w:b w:val="0"/>
                <w:sz w:val="24"/>
              </w:rPr>
              <w:t>约 2.1 ms/条</w:t>
            </w:r>
          </w:p>
        </w:tc>
      </w:tr>
    </w:tbl>
    <w:p>
      <w:pPr>
        <w:spacing w:line="360" w:lineRule="auto" w:after="0"/>
        <w:ind w:firstLine="420"/>
      </w:pPr>
      <w:r>
        <w:rPr>
          <w:rFonts w:ascii="宋体" w:hAnsi="宋体" w:eastAsia="宋体"/>
          <w:b w:val="0"/>
          <w:sz w:val="24"/>
        </w:rPr>
      </w:r>
    </w:p>
    <w:p>
      <w:pPr>
        <w:spacing w:line="360" w:lineRule="auto" w:before="120" w:after="120"/>
      </w:pPr>
      <w:r>
        <w:rPr>
          <w:rFonts w:ascii="宋体" w:hAnsi="宋体" w:eastAsia="宋体"/>
          <w:b/>
          <w:sz w:val="24"/>
        </w:rPr>
        <w:t>3.4 典型攻击场景验证</w:t>
      </w:r>
    </w:p>
    <w:p>
      <w:pPr>
        <w:pStyle w:val="ListBullet"/>
        <w:spacing w:line="360" w:lineRule="auto"/>
      </w:pPr>
      <w:r>
        <w:rPr>
          <w:rFonts w:ascii="宋体" w:hAnsi="宋体" w:eastAsia="宋体"/>
          <w:b w:val="0"/>
          <w:sz w:val="24"/>
        </w:rPr>
        <w:t>恶意文档诱导泄密：读取 malicious_doc.txt 后诱导读 secret 并外发邮件，最终 block。</w:t>
      </w:r>
    </w:p>
    <w:p>
      <w:pPr>
        <w:pStyle w:val="ListBullet"/>
        <w:spacing w:line="360" w:lineRule="auto"/>
      </w:pPr>
      <w:r>
        <w:rPr>
          <w:rFonts w:ascii="宋体" w:hAnsi="宋体" w:eastAsia="宋体"/>
          <w:b w:val="0"/>
          <w:sz w:val="24"/>
        </w:rPr>
        <w:t>网页工具返回污染：browser_mock 返回含注入指令内容，Content Guard 与语义层联动处置。</w:t>
      </w:r>
    </w:p>
    <w:p>
      <w:pPr>
        <w:pStyle w:val="ListBullet"/>
        <w:spacing w:line="360" w:lineRule="auto"/>
      </w:pPr>
      <w:r>
        <w:rPr>
          <w:rFonts w:ascii="宋体" w:hAnsi="宋体" w:eastAsia="宋体"/>
          <w:b w:val="0"/>
          <w:sz w:val="24"/>
        </w:rPr>
        <w:t>数据库越权：SELECT * FROM students 被 SQL 规则阻断，建议使用 COUNT 查询。</w:t>
      </w:r>
    </w:p>
    <w:p>
      <w:pPr>
        <w:pStyle w:val="ListBullet"/>
        <w:spacing w:line="360" w:lineRule="auto"/>
      </w:pPr>
      <w:r>
        <w:rPr>
          <w:rFonts w:ascii="宋体" w:hAnsi="宋体" w:eastAsia="宋体"/>
          <w:b w:val="0"/>
          <w:sz w:val="24"/>
        </w:rPr>
        <w:t>危险命令：rm -rf sandbox/* 被 Shell 危险模式与白名单双重拦截。</w:t>
      </w:r>
    </w:p>
    <w:p>
      <w:pPr>
        <w:pStyle w:val="ListBullet"/>
        <w:spacing w:line="360" w:lineRule="auto"/>
      </w:pPr>
      <w:r>
        <w:rPr>
          <w:rFonts w:ascii="宋体" w:hAnsi="宋体" w:eastAsia="宋体"/>
          <w:b w:val="0"/>
          <w:sz w:val="24"/>
        </w:rPr>
        <w:t>语义变体注入：未命中固定注入关键词的改写话术，由语义意图库识别并加分/阻断。</w:t>
      </w:r>
    </w:p>
    <w:p>
      <w:pPr>
        <w:spacing w:line="360" w:lineRule="auto" w:before="120" w:after="120"/>
      </w:pPr>
      <w:r>
        <w:rPr>
          <w:rFonts w:ascii="宋体" w:hAnsi="宋体" w:eastAsia="宋体"/>
          <w:b/>
          <w:sz w:val="24"/>
        </w:rPr>
        <w:t>3.5 结果分析</w:t>
      </w:r>
    </w:p>
    <w:p>
      <w:pPr>
        <w:spacing w:line="360" w:lineRule="auto" w:after="0"/>
        <w:ind w:firstLine="420"/>
      </w:pPr>
      <w:r>
        <w:rPr>
          <w:rFonts w:ascii="宋体" w:hAnsi="宋体" w:eastAsia="宋体"/>
          <w:b w:val="0"/>
          <w:sz w:val="24"/>
        </w:rPr>
        <w:t>测试表明，规则引擎可有效覆盖确定性攻击与编码绕过；语义检查弥补了固定关键词对同义改写覆盖不足的问题；四层决策与 confirm 闭环在保障安全的同时兼顾业务可用性（如教师发邮件需确认）。误报率 0% 说明正常样本（读报告、COUNT 查询、白名单命令）未被过度拦截。局限在于：语义 local 模式对极短文本仍可能误判，需与规则联合使用；Agent 规划层在演示模式下为 Mock 引擎，真实 LLM 行为需结合生产环境进一步评估。</w:t>
      </w:r>
    </w:p>
    <w:p>
      <w:r>
        <w:br w:type="page"/>
      </w:r>
    </w:p>
    <w:p>
      <w:pPr>
        <w:spacing w:line="360" w:lineRule="auto" w:before="120" w:after="120"/>
        <w:ind w:firstLine="0"/>
      </w:pPr>
      <w:r>
        <w:rPr>
          <w:rFonts w:ascii="宋体" w:hAnsi="宋体" w:eastAsia="宋体"/>
          <w:b/>
          <w:sz w:val="28"/>
        </w:rPr>
        <w:t>第四章 创新性说明</w:t>
      </w:r>
    </w:p>
    <w:p>
      <w:pPr>
        <w:spacing w:line="360" w:lineRule="auto" w:before="120" w:after="120"/>
      </w:pPr>
      <w:r>
        <w:rPr>
          <w:rFonts w:ascii="宋体" w:hAnsi="宋体" w:eastAsia="宋体"/>
          <w:b/>
          <w:sz w:val="24"/>
        </w:rPr>
        <w:t>4.1 从输入过滤到行为拦截的范式转变</w:t>
      </w:r>
    </w:p>
    <w:p>
      <w:pPr>
        <w:spacing w:line="360" w:lineRule="auto" w:after="0"/>
        <w:ind w:firstLine="420"/>
      </w:pPr>
      <w:r>
        <w:rPr>
          <w:rFonts w:ascii="宋体" w:hAnsi="宋体" w:eastAsia="宋体"/>
          <w:b w:val="0"/>
          <w:sz w:val="24"/>
        </w:rPr>
        <w:t>传统 Prompt 防火墙关注用户“说了什么”，AgentShield 关注 Agent“准备执行什么”。将安全左移至工具调用网关，可拦截多步攻击链（读密钥→发邮件）与会话上下文关联风险，更贴合 OWASP LLM08 过度代理等新型威胁。</w:t>
      </w:r>
    </w:p>
    <w:p>
      <w:pPr>
        <w:spacing w:line="360" w:lineRule="auto" w:before="120" w:after="120"/>
      </w:pPr>
      <w:r>
        <w:rPr>
          <w:rFonts w:ascii="宋体" w:hAnsi="宋体" w:eastAsia="宋体"/>
          <w:b/>
          <w:sz w:val="24"/>
        </w:rPr>
        <w:t>4.2 规则 + 语义并联的多层防御</w:t>
      </w:r>
    </w:p>
    <w:p>
      <w:pPr>
        <w:spacing w:line="360" w:lineRule="auto" w:after="0"/>
        <w:ind w:firstLine="420"/>
      </w:pPr>
      <w:r>
        <w:rPr>
          <w:rFonts w:ascii="宋体" w:hAnsi="宋体" w:eastAsia="宋体"/>
          <w:b w:val="0"/>
          <w:sz w:val="24"/>
        </w:rPr>
        <w:t>在 RBAC、路径/SQL/Shell 规则与规范化防绕过基础上，新增基于意图库的本地语义相似度检测，并可选 LLM Judge。既可捕获“不要再遵守先前安全限制”等改写注入，又可在无 API 条件下离线运行，满足竞赛演示与私有化部署需求。</w:t>
      </w:r>
    </w:p>
    <w:p>
      <w:pPr>
        <w:spacing w:line="360" w:lineRule="auto" w:before="120" w:after="120"/>
      </w:pPr>
      <w:r>
        <w:rPr>
          <w:rFonts w:ascii="宋体" w:hAnsi="宋体" w:eastAsia="宋体"/>
          <w:b/>
          <w:sz w:val="24"/>
        </w:rPr>
        <w:t>4.3 可运营的四层决策与人工闭环</w:t>
      </w:r>
    </w:p>
    <w:p>
      <w:pPr>
        <w:spacing w:line="360" w:lineRule="auto" w:after="0"/>
        <w:ind w:firstLine="420"/>
      </w:pPr>
      <w:r>
        <w:rPr>
          <w:rFonts w:ascii="宋体" w:hAnsi="宋体" w:eastAsia="宋体"/>
          <w:b w:val="0"/>
          <w:sz w:val="24"/>
        </w:rPr>
        <w:t>区别于简单通过/拒绝，系统提供 mask 脱敏与 confirm 人工确认，配套审计日志、待确认统计与 POST /api/shield/confirm 批准/拒绝 API，形成“检测—决策—人工—执行—留痕”完整闭环。</w:t>
      </w:r>
    </w:p>
    <w:p>
      <w:pPr>
        <w:spacing w:line="360" w:lineRule="auto" w:before="120" w:after="120"/>
      </w:pPr>
      <w:r>
        <w:rPr>
          <w:rFonts w:ascii="宋体" w:hAnsi="宋体" w:eastAsia="宋体"/>
          <w:b/>
          <w:sz w:val="24"/>
        </w:rPr>
        <w:t>4.4 即插即用场景化策略包</w:t>
      </w:r>
    </w:p>
    <w:p>
      <w:pPr>
        <w:spacing w:line="360" w:lineRule="auto" w:after="0"/>
        <w:ind w:firstLine="420"/>
      </w:pPr>
      <w:r>
        <w:rPr>
          <w:rFonts w:ascii="宋体" w:hAnsi="宋体" w:eastAsia="宋体"/>
          <w:b w:val="0"/>
          <w:sz w:val="24"/>
        </w:rPr>
        <w:t>校园、个人、企业三套 Profile 通过 YAML 一键切换，无需修改代码即可改变角色体系与规则。生产环境可通过 POLICY_FILE 加载用户自有策略，实现竞赛演示与真实接入的统一内核。</w:t>
      </w:r>
    </w:p>
    <w:p>
      <w:pPr>
        <w:spacing w:line="360" w:lineRule="auto" w:before="120" w:after="120"/>
      </w:pPr>
      <w:r>
        <w:rPr>
          <w:rFonts w:ascii="宋体" w:hAnsi="宋体" w:eastAsia="宋体"/>
          <w:b/>
          <w:sz w:val="24"/>
        </w:rPr>
        <w:t>4.5 框架无关的开放集成</w:t>
      </w:r>
    </w:p>
    <w:p>
      <w:pPr>
        <w:spacing w:line="360" w:lineRule="auto" w:after="0"/>
        <w:ind w:firstLine="420"/>
      </w:pPr>
      <w:r>
        <w:rPr>
          <w:rFonts w:ascii="宋体" w:hAnsi="宋体" w:eastAsia="宋体"/>
          <w:b w:val="0"/>
          <w:sz w:val="24"/>
        </w:rPr>
        <w:t>提供 HTTP evaluate、Python 装饰器、LangChain StructuredTool、MCP stdio 四种接入路径，不绑定单一 Agent 框架，降低用户迁移成本，体现“安全网关”而非“演示 Demo”的工程定位。作品已开源（https://github.com/kkangtai9607/agentShield）并上线演示站（https://agentshieldtop.xyz），评委可在线体验，开发者可 clone 后嵌入集成。</w:t>
      </w:r>
    </w:p>
    <w:p>
      <w:r>
        <w:br w:type="page"/>
      </w:r>
    </w:p>
    <w:p>
      <w:pPr>
        <w:spacing w:line="360" w:lineRule="auto" w:before="120" w:after="120"/>
        <w:ind w:firstLine="0"/>
      </w:pPr>
      <w:r>
        <w:rPr>
          <w:rFonts w:ascii="宋体" w:hAnsi="宋体" w:eastAsia="宋体"/>
          <w:b/>
          <w:sz w:val="28"/>
        </w:rPr>
        <w:t>第五章 总结</w:t>
      </w:r>
    </w:p>
    <w:p>
      <w:pPr>
        <w:spacing w:line="360" w:lineRule="auto" w:after="0"/>
        <w:ind w:firstLine="420"/>
      </w:pPr>
      <w:r>
        <w:rPr>
          <w:rFonts w:ascii="宋体" w:hAnsi="宋体" w:eastAsia="宋体"/>
          <w:b w:val="0"/>
          <w:sz w:val="24"/>
        </w:rPr>
        <w:t>本作品针对大模型 Agent 工具调用场景的安全空白，设计并实现了 AgentShield 安全防护网关。系统以行为级拦截为核心，融合 RBAC 策略引擎、规范化防绕过、本地语义意图检测、工具返回 Content Guard、JWT 鉴权与全链路审计，并提供四层决策与人工确认闭环。三套场景策略包与多种集成方式使系统兼具竞赛演示表现力与工程落地潜力。作品已完成云端部署（https://agentshieldtop.xyz）与 GitHub 开源（https://github.com/kkangtai9607/agentShield），形成“在线体验 + 源码复现 + 嵌入集成”的完整交付形态。</w:t>
      </w:r>
    </w:p>
    <w:p>
      <w:pPr>
        <w:spacing w:line="360" w:lineRule="auto" w:after="0"/>
        <w:ind w:firstLine="420"/>
      </w:pPr>
      <w:r>
        <w:rPr>
          <w:rFonts w:ascii="宋体" w:hAnsi="宋体" w:eastAsia="宋体"/>
          <w:b w:val="0"/>
          <w:sz w:val="24"/>
        </w:rPr>
        <w:t>Benchmark 实测 22 条样本检出率 100%、误报率 0%，验证了方案的有效性。后续将扩展 ABAC 细粒度授权、审计防篡改、更多真实 Agent 框架适配以及语义模型在线学习等能力，持续提升对未知攻击变体的防护水平。</w:t>
      </w:r>
    </w:p>
    <w:p>
      <w:r>
        <w:br w:type="page"/>
      </w:r>
    </w:p>
    <w:p>
      <w:pPr>
        <w:spacing w:line="360" w:lineRule="auto" w:before="120" w:after="120"/>
        <w:ind w:firstLine="0"/>
      </w:pPr>
      <w:r>
        <w:rPr>
          <w:rFonts w:ascii="宋体" w:hAnsi="宋体" w:eastAsia="宋体"/>
          <w:b/>
          <w:sz w:val="28"/>
        </w:rPr>
        <w:t>参考文献</w:t>
      </w:r>
    </w:p>
    <w:p>
      <w:pPr>
        <w:spacing w:line="360" w:lineRule="auto"/>
      </w:pPr>
      <w:r>
        <w:rPr>
          <w:rFonts w:ascii="宋体" w:hAnsi="宋体" w:eastAsia="宋体"/>
          <w:b w:val="0"/>
          <w:sz w:val="24"/>
        </w:rPr>
        <w:t>[1] OWASP Foundation. OWASP Top 10 for Large Language Model Applications[EB/OL]. https://owasp.org/www-project-top-10-for-large-language-model-applications/, 2024.</w:t>
      </w:r>
    </w:p>
    <w:p>
      <w:pPr>
        <w:spacing w:line="360" w:lineRule="auto"/>
      </w:pPr>
      <w:r>
        <w:rPr>
          <w:rFonts w:ascii="宋体" w:hAnsi="宋体" w:eastAsia="宋体"/>
          <w:b w:val="0"/>
          <w:sz w:val="24"/>
        </w:rPr>
        <w:t>[2] 李建华. 网络空间威胁情报感知、共享与分析技术综述[J]. 网络与信息安全学报, 2016, 2(2): 16-29.</w:t>
      </w:r>
    </w:p>
    <w:p>
      <w:pPr>
        <w:spacing w:line="360" w:lineRule="auto"/>
      </w:pPr>
      <w:r>
        <w:rPr>
          <w:rFonts w:ascii="宋体" w:hAnsi="宋体" w:eastAsia="宋体"/>
          <w:b w:val="0"/>
          <w:sz w:val="24"/>
        </w:rPr>
        <w:t>[3] Anthropic. Model Context Protocol Specification[EB/OL]. https://modelcontextprotocol.io/, 2024.</w:t>
      </w:r>
    </w:p>
    <w:p>
      <w:pPr>
        <w:spacing w:line="360" w:lineRule="auto"/>
      </w:pPr>
      <w:r>
        <w:rPr>
          <w:rFonts w:ascii="宋体" w:hAnsi="宋体" w:eastAsia="宋体"/>
          <w:b w:val="0"/>
          <w:sz w:val="24"/>
        </w:rPr>
        <w:t>[4] LangChain Inc. LangChain Documentation: Tools and Agents[EB/OL]. https://python.langchain.com/, 2024.</w:t>
      </w:r>
    </w:p>
    <w:p>
      <w:pPr>
        <w:spacing w:line="360" w:lineRule="auto"/>
      </w:pPr>
      <w:r>
        <w:rPr>
          <w:rFonts w:ascii="宋体" w:hAnsi="宋体" w:eastAsia="宋体"/>
          <w:b w:val="0"/>
          <w:sz w:val="24"/>
        </w:rPr>
        <w:t>[5] NIST. Zero Trust Architecture (SP 800-207)[S]. National Institute of Standards and Technology, 2020.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