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 ثم القرارات التنفيذية D-41…D-49.</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وD-41 إلى D-49 (تثبيت منصة التجارب)، وADR-001 وADR-002 (مع قسمه 7) وADR-003 وADR-004 (مع §4-مكرر)،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 ويُلحق به: «لا يكشف التصميم بقوة 80% أثراً أصغر من MDE80 = x» (D-48)</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 D-46):</w:t>
      </w:r>
      <w:r>
        <w:rPr>
          <w:rtl/>
        </w:rPr>
        <w:t xml:space="preserve"> </w:t>
      </w:r>
      <w:r>
        <w:rPr>
          <w:rtl/>
        </w:rPr>
        <w:t xml:space="preserve">لكل فرضية يُقدَّر σ من</w:t>
      </w:r>
      <w:r>
        <w:rPr>
          <w:rtl/>
        </w:rPr>
        <w:t xml:space="preserve"> </w:t>
      </w:r>
      <w:r>
        <w:rPr>
          <w:rtl/>
          <w:bCs/>
          <w:b/>
        </w:rPr>
        <w:t xml:space="preserve">زوجها الفعلي</w:t>
      </w:r>
      <w:r>
        <w:rPr>
          <w:rtl/>
        </w:rPr>
        <w:t xml:space="preserve"> </w:t>
      </w:r>
      <w:r>
        <w:rPr>
          <w:rtl/>
        </w:rPr>
        <w:t xml:space="preserve">على نوافذ اختبار 2013 (انحراف</w:t>
      </w:r>
      <w:r>
        <w:rPr>
          <w:rtl/>
        </w:rPr>
        <w:t xml:space="preserve"> </w:t>
      </w:r>
      <m:oMath>
        <m:sSub>
          <m:e>
            <m:r>
              <m:t>Δ</m:t>
            </m:r>
          </m:e>
          <m:sub>
            <m:r>
              <m:t>p</m:t>
            </m:r>
          </m:sub>
        </m:sSub>
      </m:oMath>
      <w:r>
        <w:rPr>
          <w:rtl/>
        </w:rPr>
        <w:t xml:space="preserve"> </w:t>
      </w:r>
      <w:r>
        <w:rPr>
          <w:rtl/>
        </w:rPr>
        <w:t xml:space="preserve">عبر العروض التسعة)، ويُحسب MDE80، أي أصغر μ يعطي احتمال تأكيد ≥ 0.8 بالمحاكاة نفسها، بالدالة</w:t>
      </w:r>
      <w:r>
        <w:rPr>
          <w:rtl/>
        </w:rPr>
        <w:t xml:space="preserve"> </w:t>
      </w:r>
      <w:r>
        <w:rPr>
          <w:rStyle w:val="VerbatimChar"/>
          <w:rtl/>
        </w:rPr>
        <w:t xml:space="preserve">stats.mde80</w:t>
      </w:r>
      <w:r>
        <w:rPr>
          <w:rtl/>
        </w:rPr>
        <w:t xml:space="preserve"> </w:t>
      </w:r>
      <w:r>
        <w:rPr>
          <w:rtl/>
        </w:rPr>
        <w:t xml:space="preserve">وبعامل Holm الأشد (4). ويُكتب الجدول 2-ب كاملاً</w:t>
      </w:r>
      <w:r>
        <w:rPr>
          <w:rtl/>
        </w:rPr>
        <w:t xml:space="preserve"> </w:t>
      </w:r>
      <w:r>
        <w:rPr>
          <w:rtl/>
          <w:bCs/>
          <w:b/>
        </w:rPr>
        <w:t xml:space="preserve">قبل التجميد (12-14)</w:t>
      </w:r>
      <w:r>
        <w:rPr>
          <w:rtl/>
        </w:rPr>
        <w:t xml:space="preserve">، مع التنبيه إلى أن σ المقدَّر من 9 وحدات تقريبي. ولا يُعدَّل δ ولا القاعدة بناءً عليه.</w:t>
      </w:r>
    </w:p>
    <w:p>
      <w:pPr>
        <w:bidi w:val="1"/>
      </w:pPr>
      <w:r>
        <w:rPr>
          <w:rtl/>
          <w:bCs/>
          <w:b/>
        </w:rPr>
        <w:t xml:space="preserve">جدول 2-ب: جدول MDE80 لكل فرضية (D-46؛ يُملأ قبل التجميد)</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الزوج الذي يُقدَّر منه σ</w:t>
            </w:r>
          </w:p>
        </w:tc>
        <w:tc>
          <w:tcPr>
            <w:shd w:val="clear" w:color="auto" w:fill="D9E2F3"/>
          </w:tcPr>
          <w:p>
            <w:pPr>
              <w:pStyle w:val="Compact"/>
              <w:bidi w:val="1"/>
              <w:jc w:val="left"/>
            </w:pPr>
            <w:r>
              <w:rPr>
                <w:b/>
                <w:rtl/>
              </w:rPr>
              <w:t xml:space="preserve">موعد التقدير</w:t>
            </w:r>
          </w:p>
        </w:tc>
        <w:tc>
          <w:tcPr>
            <w:shd w:val="clear" w:color="auto" w:fill="D9E2F3"/>
          </w:tcPr>
          <w:p>
            <w:pPr>
              <w:pStyle w:val="Compact"/>
              <w:bidi w:val="1"/>
              <w:jc w:val="left"/>
            </w:pPr>
            <w:r>
              <w:rPr>
                <w:b/>
                <w:rtl/>
              </w:rPr>
              <w:t xml:space="preserve">MDE80</w:t>
            </w:r>
          </w:p>
        </w:tc>
      </w:tr>
      <w:tr>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بعد E3 (الموعد المسجل 11-13)</w:t>
            </w:r>
          </w:p>
        </w:tc>
        <w:tc>
          <w:tcPr/>
          <w:p>
            <w:pPr>
              <w:pStyle w:val="Compact"/>
              <w:bidi w:val="1"/>
              <w:jc w:val="left"/>
            </w:pPr>
            <w:r>
              <w:rPr>
                <w:rtl/>
              </w:rPr>
              <w:t xml:space="preserve">[يُملأ]</w:t>
            </w:r>
          </w:p>
        </w:tc>
      </w:tr>
      <w:tr>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بعد E5 (12-03)</w:t>
            </w:r>
          </w:p>
        </w:tc>
        <w:tc>
          <w:tcPr/>
          <w:p>
            <w:pPr>
              <w:pStyle w:val="Compact"/>
              <w:bidi w:val="1"/>
              <w:jc w:val="left"/>
            </w:pPr>
            <w:r>
              <w:rPr>
                <w:rtl/>
              </w:rPr>
              <w:t xml:space="preserve">[يُملأ]</w:t>
            </w:r>
          </w:p>
        </w:tc>
      </w:tr>
      <w:tr>
        <w:tc>
          <w:tcPr/>
          <w:p>
            <w:pPr>
              <w:pStyle w:val="Compact"/>
              <w:bidi w:val="1"/>
              <w:jc w:val="left"/>
            </w:pPr>
            <w:r>
              <w:rPr>
                <w:rtl/>
              </w:rPr>
              <w:t xml:space="preserve">H4-أ</w:t>
            </w:r>
          </w:p>
        </w:tc>
        <w:tc>
          <w:tcPr/>
          <w:p>
            <w:pPr>
              <w:pStyle w:val="Compact"/>
              <w:bidi w:val="1"/>
              <w:jc w:val="left"/>
            </w:pPr>
            <w:r>
              <w:rPr>
                <w:rtl/>
              </w:rPr>
              <w:t xml:space="preserve">فروق AUC (</w:t>
            </w:r>
            <m:oMath>
              <m:sSub>
                <m:e>
                  <m:r>
                    <m:t>M</m:t>
                  </m:r>
                </m:e>
                <m:sub>
                  <m:r>
                    <m:t>1</m:t>
                  </m:r>
                </m:sub>
              </m:sSub>
              <m:r>
                <m:rPr>
                  <m:sty m:val="p"/>
                </m:rPr>
                <m:t>−</m:t>
              </m:r>
              <m:sSub>
                <m:e>
                  <m:r>
                    <m:t>M</m:t>
                  </m:r>
                </m:e>
                <m:sub>
                  <m:r>
                    <m:t>0</m:t>
                  </m:r>
                </m:sub>
              </m:sSub>
            </m:oMath>
            <w:r>
              <w:rPr>
                <w:rtl/>
              </w:rPr>
              <w:t xml:space="preserve">) بتحقق «ترك عرض واحد خارج التدريب» داخل 2013</w:t>
            </w:r>
          </w:p>
        </w:tc>
        <w:tc>
          <w:tcPr/>
          <w:p>
            <w:pPr>
              <w:pStyle w:val="Compact"/>
              <w:bidi w:val="1"/>
              <w:jc w:val="left"/>
            </w:pPr>
            <w:r>
              <w:rPr>
                <w:rtl/>
              </w:rPr>
              <w:t xml:space="preserve">بعد E6ب (12-08)</w:t>
            </w:r>
          </w:p>
        </w:tc>
        <w:tc>
          <w:tcPr/>
          <w:p>
            <w:pPr>
              <w:pStyle w:val="Compact"/>
              <w:bidi w:val="1"/>
              <w:jc w:val="left"/>
            </w:pPr>
            <w:r>
              <w:rPr>
                <w:rtl/>
              </w:rPr>
              <w:t xml:space="preserve">[يُملأ]</w:t>
            </w:r>
          </w:p>
        </w:tc>
      </w:tr>
      <w:tr>
        <w:tc>
          <w:tcPr/>
          <w:p>
            <w:pPr>
              <w:pStyle w:val="Compact"/>
              <w:bidi w:val="1"/>
              <w:jc w:val="left"/>
            </w:pPr>
            <w:r>
              <w:rPr>
                <w:rtl/>
              </w:rPr>
              <w:t xml:space="preserve">H1</w:t>
            </w:r>
          </w:p>
        </w:tc>
        <w:tc>
          <w:tcPr/>
          <w:p>
            <w:pPr>
              <w:pStyle w:val="Compact"/>
              <w:bidi w:val="1"/>
              <w:jc w:val="left"/>
            </w:pPr>
            <w:r>
              <w:rPr>
                <w:rtl/>
              </w:rPr>
              <w:t xml:space="preserve">HYB* المجمَّد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بعد E7ب (12-09)</w:t>
            </w:r>
          </w:p>
        </w:tc>
        <w:tc>
          <w:tcPr/>
          <w:p>
            <w:pPr>
              <w:pStyle w:val="Compact"/>
              <w:bidi w:val="1"/>
              <w:jc w:val="left"/>
            </w:pPr>
            <w:r>
              <w:rPr>
                <w:rtl/>
              </w:rPr>
              <w:t xml:space="preserve">[يُملأ]</w:t>
            </w:r>
          </w:p>
        </w:tc>
      </w:tr>
    </w:tbl>
    <w:p>
      <w:pPr>
        <w:numPr>
          <w:ilvl w:val="0"/>
          <w:numId w:val="1007"/>
        </w:numPr>
        <w:pStyle w:val="Compact"/>
        <w:bidi w:val="1"/>
      </w:pPr>
      <w:r>
        <w:rPr>
          <w:rtl/>
          <w:bCs/>
          <w:b/>
        </w:rPr>
        <w:t xml:space="preserve">سياق تطويري توضيحي فقط (لا يدخل الجدول النهائي):</w:t>
      </w:r>
      <w:r>
        <w:rPr>
          <w:rtl/>
        </w:rPr>
        <w:t xml:space="preserve"> </w:t>
      </w:r>
      <w:r>
        <w:rPr>
          <w:rtl/>
        </w:rPr>
        <w:t xml:space="preserve">من زوج بديل B5 − B3 على التطوير (SKNN 0.531 مقابل Recent-Pop 0.541، Δ = −0.010، [−0.057، +0.024]) بلغ MDE80 التوضيحي ≈ 0.053، أي أكثر من 2δ (ADR-004 §4-مكرر).</w:t>
      </w:r>
    </w:p>
    <w:p>
      <w:pPr>
        <w:numPr>
          <w:ilvl w:val="0"/>
          <w:numId w:val="1007"/>
        </w:numPr>
        <w:pStyle w:val="Compact"/>
        <w:bidi w:val="1"/>
      </w:pPr>
      <w:r>
        <w:rPr>
          <w:rtl/>
          <w:bCs/>
          <w:b/>
        </w:rPr>
        <w:t xml:space="preserve">بند MDE80 &gt; 2δ (D-25) مفعَّل مؤقتاً (D-48):</w:t>
      </w:r>
      <w:r>
        <w:rPr>
          <w:rtl/>
        </w:rPr>
        <w:t xml:space="preserve"> </w:t>
      </w:r>
      <w:r>
        <w:rPr>
          <w:rtl/>
        </w:rPr>
        <w:t xml:space="preserve">يُكتب صراحة أن التصميم لا يكشف بقوة 80% إلا آثاراً كبيرة، وأن «غير حاسمة» متوقعة؛ ويُحسم البند لكل فرضية بـσ زوجها (D-46).</w:t>
      </w:r>
    </w:p>
    <w:p>
      <w:pPr>
        <w:numPr>
          <w:ilvl w:val="0"/>
          <w:numId w:val="1007"/>
        </w:numPr>
        <w:pStyle w:val="Compact"/>
        <w:bidi w:val="1"/>
      </w:pPr>
      <w:r>
        <w:rPr>
          <w:rtl/>
          <w:bCs/>
          <w:b/>
        </w:rPr>
        <w:t xml:space="preserve">وصف «غير حاسمة» المسجل (D-48):</w:t>
      </w:r>
      <w:r>
        <w:rPr>
          <w:rtl/>
        </w:rPr>
        <w:t xml:space="preserve"> </w:t>
      </w:r>
      <w:r>
        <w:rPr>
          <w:rtl/>
        </w:rPr>
        <w:t xml:space="preserve">يُلحق بكل حكم «غير حاسمة» النص: «</w:t>
      </w:r>
      <w:r>
        <w:rPr>
          <w:rtl/>
          <w:bCs/>
          <w:b/>
        </w:rPr>
        <w:t xml:space="preserve">لا يكشف التصميم بقوة 80% أثراً أصغر من MDE80 = x</w:t>
      </w:r>
      <w:r>
        <w:rPr>
          <w:rtl/>
        </w:rPr>
        <w:t xml:space="preserve">»، حيث x قيمة الفرضية في الجدول 2-ب. وهو وصف لا حكم جديد، فالجدول 2 والجدول 3 بلا صف إضافي.</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 ويُلحق به: «لا يكشف التصميم بقوة 80% أثراً أصغر من MDE80 = x» (D-48)</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 ولتحديد هؤلاء الطلاب قبل التجميد تُجاز</w:t>
      </w:r>
      <w:r>
        <w:rPr>
          <w:rtl/>
        </w:rPr>
        <w:t xml:space="preserve"> </w:t>
      </w:r>
      <w:r>
        <w:rPr>
          <w:rtl/>
          <w:bCs/>
          <w:b/>
        </w:rPr>
        <w:t xml:space="preserve">قراءة محدودة واحدة</w:t>
      </w:r>
      <w:r>
        <w:rPr>
          <w:rtl/>
        </w:rPr>
        <w:t xml:space="preserve"> </w:t>
      </w:r>
      <w:r>
        <w:rPr>
          <w:rtl/>
        </w:rPr>
        <w:t xml:space="preserve">هي الاستثناء الصريح الوحيد من حاجز D-09 (D-47): دالة مخصصة تقرأ من</w:t>
      </w:r>
      <w:r>
        <w:rPr>
          <w:rtl/>
        </w:rPr>
        <w:t xml:space="preserve"> </w:t>
      </w:r>
      <w:r>
        <w:rPr>
          <w:rStyle w:val="VerbatimChar"/>
          <w:rtl/>
        </w:rPr>
        <w:t xml:space="preserve">studentRegistration.csv</w:t>
      </w:r>
      <w:r>
        <w:rPr>
          <w:rtl/>
        </w:rPr>
        <w:t xml:space="preserve"> </w:t>
      </w:r>
      <w:r>
        <w:rPr>
          <w:rtl/>
        </w:rPr>
        <w:t xml:space="preserve">لعروض 2014 الأعمدة</w:t>
      </w:r>
      <w:r>
        <w:rPr>
          <w:rtl/>
        </w:rPr>
        <w:t xml:space="preserve"> </w:t>
      </w:r>
      <w:r>
        <w:rPr>
          <w:rStyle w:val="VerbatimChar"/>
          <w:rtl/>
        </w:rPr>
        <w:t xml:space="preserve">code_module, code_presentation, id_student</w:t>
      </w:r>
      <w:r>
        <w:rPr>
          <w:rtl/>
        </w:rPr>
        <w:t xml:space="preserve"> </w:t>
      </w:r>
      <w:r>
        <w:rPr>
          <w:rtl/>
        </w:rPr>
        <w:t xml:space="preserve">وحدها (</w:t>
      </w:r>
      <w:r>
        <w:rPr>
          <w:rStyle w:val="VerbatimChar"/>
          <w:rtl/>
        </w:rPr>
        <w:t xml:space="preserve">usecols</w:t>
      </w:r>
      <w:r>
        <w:rPr>
          <w:rtl/>
        </w:rPr>
        <w:t xml:space="preserve">)، بلا</w:t>
      </w:r>
      <w:r>
        <w:rPr>
          <w:rtl/>
        </w:rPr>
        <w:t xml:space="preserve"> </w:t>
      </w:r>
      <w:r>
        <w:rPr>
          <w:rStyle w:val="VerbatimChar"/>
          <w:rtl/>
        </w:rPr>
        <w:t xml:space="preserve">date_registration</w:t>
      </w:r>
      <w:r>
        <w:rPr>
          <w:rtl/>
        </w:rPr>
        <w:t xml:space="preserve"> </w:t>
      </w:r>
      <w:r>
        <w:rPr>
          <w:rtl/>
        </w:rPr>
        <w:t xml:space="preserve">ولا</w:t>
      </w:r>
      <w:r>
        <w:rPr>
          <w:rtl/>
        </w:rPr>
        <w:t xml:space="preserve"> </w:t>
      </w:r>
      <w:r>
        <w:rPr>
          <w:rStyle w:val="VerbatimChar"/>
          <w:rtl/>
        </w:rPr>
        <w:t xml:space="preserve">date_unregistration</w:t>
      </w:r>
      <w:r>
        <w:rPr>
          <w:rtl/>
        </w:rPr>
        <w:t xml:space="preserve"> </w:t>
      </w:r>
      <w:r>
        <w:rPr>
          <w:rtl/>
        </w:rPr>
        <w:t xml:space="preserve">(فيه معلومة انسحاب = نتيجة)، ولا أي جدول آخر لـ2014؛ وتعيد مجموعة معرّفات فقط تُستعمل لترشيح تدريب H4-أ وحده؛ مع سجل وصول (</w:t>
      </w:r>
      <w:r>
        <w:rPr>
          <w:rStyle w:val="VerbatimChar"/>
          <w:rtl/>
        </w:rPr>
        <w:t xml:space="preserve">results/access_log.jsonl</w:t>
      </w:r>
      <w:r>
        <w:rPr>
          <w:rtl/>
        </w:rPr>
        <w:t xml:space="preserve">: الزمن، وMD5، والأعمدة، وعدد المعرّفات، وcommit)، واختبار وحدة يتحقق من الأعمدة ومن رفض أي قراءة أخرى لـ2014، ومراجعة الزميل قبل الدمج.</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والشرط</w:t>
      </w:r>
      <w:r>
        <w:rPr>
          <w:rtl/>
        </w:rPr>
        <w:t xml:space="preserve"> </w:t>
      </w:r>
      <w:r>
        <w:rPr>
          <w:rtl/>
          <w:bCs/>
          <w:b/>
        </w:rPr>
        <w:t xml:space="preserve">n ≤ Q1</w:t>
      </w:r>
      <w:r>
        <w:rPr>
          <w:rtl/>
        </w:rPr>
        <w:t xml:space="preserve"> </w:t>
      </w:r>
      <w:r>
        <w:rPr>
          <w:rtl/>
        </w:rPr>
        <w:t xml:space="preserve">لكل (عرض، أصل، مهمة)، وتُبلَّغ دائماً</w:t>
      </w:r>
      <w:r>
        <w:rPr>
          <w:rtl/>
        </w:rPr>
        <w:t xml:space="preserve"> </w:t>
      </w:r>
      <w:r>
        <w:rPr>
          <w:rtl/>
          <w:bCs/>
          <w:b/>
        </w:rPr>
        <w:t xml:space="preserve">الحصة الفعلية</w:t>
      </w:r>
      <w:r>
        <w:rPr>
          <w:rtl/>
        </w:rPr>
        <w:t xml:space="preserve"> </w:t>
      </w:r>
      <w:r>
        <w:rPr>
          <w:rtl/>
        </w:rPr>
        <w:t xml:space="preserve">للشريحة من المقيَّمين (≈ 26.3% على التطوير) ومعها حصة «&lt; 5 موارد» (≈ 0.7%) (D-45).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فاصل وp غير مصححة</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على الأرجح (MDE80 التوضيحي ≈ 0.053 &gt; 2δ؛ D-48)،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واحد على الأقل مع</w:t>
      </w:r>
      <w:r>
        <w:rPr>
          <w:rtl/>
        </w:rPr>
        <w:t xml:space="preserve"> </w:t>
      </w:r>
      <w:r>
        <w:rPr>
          <w:rtl/>
          <w:bCs/>
          <w:b/>
        </w:rPr>
        <w:t xml:space="preserve">مورد من الكتالوج</w:t>
      </w:r>
      <w:r>
        <w:rPr>
          <w:rtl/>
        </w:rPr>
        <w:t xml:space="preserve"> </w:t>
      </w:r>
      <w:r>
        <w:rPr>
          <w:rtl/>
        </w:rPr>
        <w:t xml:space="preserve">في التدريب وهدف واحد على الأقل، ومن له نقرات تنقل فقط يُعدّ ولا يُقيَّم (D-41)؛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w:t>
      </w:r>
      <w:r>
        <w:rPr>
          <w:rtl/>
        </w:rPr>
        <w:t xml:space="preserve"> </w:t>
      </w:r>
      <w:r>
        <w:rPr>
          <w:rtl/>
          <w:bCs/>
          <w:b/>
        </w:rPr>
        <w:t xml:space="preserve">الثنائية</w:t>
      </w:r>
      <w:r>
        <w:rPr>
          <w:rtl/>
        </w:rPr>
        <w:t xml:space="preserve">: فالتشابه يُحسب على الأعمدة الثنائية مع التقليص، ومستوى الإشارة</w:t>
      </w:r>
      <w:r>
        <w:rPr>
          <w:rtl/>
        </w:rPr>
        <w:t xml:space="preserve"> </w:t>
      </w:r>
      <m:oMath>
        <m:r>
          <m:t>W</m:t>
        </m:r>
      </m:oMath>
      <w:r>
        <w:rPr>
          <w:rtl/>
        </w:rPr>
        <w:t xml:space="preserve"> </w:t>
      </w:r>
      <w:r>
        <w:rPr>
          <w:rtl/>
        </w:rPr>
        <w:t xml:space="preserve">يدخل في التجميع</w:t>
      </w:r>
      <w:r>
        <w:rPr>
          <w:rtl/>
        </w:rPr>
        <w:t xml:space="preserve"> </w:t>
      </w:r>
      <m:oMath>
        <m:r>
          <m:t>s</m:t>
        </m:r>
        <m:d>
          <m:dPr>
            <m:begChr m:val="("/>
            <m:endChr m:val=")"/>
            <m:sepChr m:val=""/>
            <m:grow/>
          </m:dPr>
          <m:e>
            <m:r>
              <m:t>u</m:t>
            </m:r>
            <m:r>
              <m:rPr>
                <m:sty m:val="p"/>
              </m:rPr>
              <m:t>,</m:t>
            </m:r>
            <m:r>
              <m:t>j</m:t>
            </m:r>
          </m:e>
        </m:d>
      </m:oMath>
      <w:r>
        <w:rPr>
          <w:rtl/>
        </w:rPr>
        <w:t xml:space="preserve"> </w:t>
      </w:r>
      <w:r>
        <w:rPr>
          <w:rtl/>
        </w:rPr>
        <w:t xml:space="preserve">فقط (D-43)، فيُعزل أثر الإشارة في ملف المتعلم ولا تقيس H2 شيئين معاً؛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 في التجميع وحده (D-43).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w:t>
      </w:r>
      <w:r>
        <w:rPr>
          <w:rtl/>
        </w:rPr>
        <w:t xml:space="preserve"> </w:t>
      </w:r>
      <w:r>
        <w:rPr>
          <w:rtl/>
          <w:bCs/>
          <w:b/>
        </w:rPr>
        <w:t xml:space="preserve">مطبَّعة لكل مورد إلى مجموع 1</w:t>
      </w:r>
      <w:r>
        <w:rPr>
          <w:rtl/>
        </w:rPr>
        <w:t xml:space="preserve">، فيمثل الملف شكل استخدام المورد زمنياً لا مستواه، لأن المستوى شعبية تحملها المكوّنات (1) و(6)؛ والأيام بعد آخر موعد معروف تقع في الفئة &gt; 14؛ D-44).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اختيار الإعداد لكل مهمة (D-42):</w:t>
      </w:r>
      <w:r>
        <w:rPr>
          <w:rtl/>
        </w:rPr>
        <w:t xml:space="preserve"> </w:t>
      </w:r>
      <w:r>
        <w:rPr>
          <w:rtl/>
        </w:rPr>
        <w:t xml:space="preserve">يُختار إعداد كل نموذج بـNDCG@10 على التحقق لكل (عرض، أصل،</w:t>
      </w:r>
      <w:r>
        <w:rPr>
          <w:rtl/>
        </w:rPr>
        <w:t xml:space="preserve"> </w:t>
      </w:r>
      <w:r>
        <w:rPr>
          <w:rtl/>
          <w:bCs/>
          <w:b/>
        </w:rPr>
        <w:t xml:space="preserve">مهمة</w:t>
      </w:r>
      <w:r>
        <w:rPr>
          <w:rtl/>
        </w:rPr>
        <w:t xml:space="preserve">). لكن الفرضيات كلها على المهمة A وبإعدادات A، وتركيبة الهجين ومكوّناته وأوزانه تُضبط وتُجمَّد على المهمة A وحدها، وتُبلَّغ في المهمة B بإعدادات A مع ذكر ذلك.</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أكبر من الانحراف المعياري عبر بذور التقرير الخمس.</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4"/>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4"/>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5"/>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5"/>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6"/>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6"/>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6"/>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6"/>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7"/>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7"/>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7"/>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7"/>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7"/>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7"/>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7"/>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7"/>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7"/>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7"/>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7"/>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7"/>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8"/>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8"/>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8"/>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8"/>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8"/>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8"/>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49"/>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49"/>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49"/>
        </w:numPr>
        <w:pStyle w:val="Compact"/>
        <w:bidi w:val="1"/>
      </w:pPr>
      <w:r>
        <w:rPr>
          <w:rtl/>
          <w:bCs/>
          <w:b/>
        </w:rPr>
        <w:t xml:space="preserve">اختيار k ∈ [2..8]</w:t>
      </w:r>
      <w:r>
        <w:rPr>
          <w:rtl/>
        </w:rPr>
        <w:t xml:space="preserve"> </w:t>
      </w:r>
      <w:r>
        <w:rPr>
          <w:rtl/>
        </w:rPr>
        <w:t xml:space="preserve">بثلاثة معايير معاً:</w:t>
      </w:r>
    </w:p>
    <w:p>
      <w:pPr>
        <w:numPr>
          <w:ilvl w:val="1"/>
          <w:numId w:val="1050"/>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0"/>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0"/>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0"/>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49"/>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49"/>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1"/>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1"/>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p>
      <w:pPr>
        <w:bidi w:val="1"/>
      </w:pPr>
      <w:r>
        <w:rPr>
          <w:rtl/>
          <w:bCs/>
          <w:b/>
        </w:rPr>
        <w:t xml:space="preserve">إعادة التشغيل في الواجهة (D-49).</w:t>
      </w:r>
      <w:r>
        <w:rPr>
          <w:rtl/>
        </w:rPr>
        <w:t xml:space="preserve"> </w:t>
      </w:r>
      <w:r>
        <w:rPr>
          <w:rtl/>
        </w:rPr>
        <w:t xml:space="preserve">تعرض واجهة المتعلم توصيات تسجيل ما عند يوم مختار t (نمط إعادة التشغيل؛ D-22) بالقواعد الآتية، وكلها لا تستعمل إلا ما هو ≤ t فلا تسرب:</w:t>
      </w:r>
    </w:p>
    <w:p>
      <w:pPr>
        <w:numPr>
          <w:ilvl w:val="0"/>
          <w:numId w:val="1052"/>
        </w:numPr>
        <w:pStyle w:val="Compact"/>
        <w:bidi w:val="1"/>
      </w:pPr>
      <w:r>
        <w:rPr>
          <w:rtl/>
        </w:rPr>
        <w:t xml:space="preserve">المكوّنات الثقيلة (WRMF وGRU-lite) تُدرَّب عند القطوع الثلاثة فقط، والطلب عند t يستعمل معاملات</w:t>
      </w:r>
      <w:r>
        <w:rPr>
          <w:rtl/>
        </w:rPr>
        <w:t xml:space="preserve"> </w:t>
      </w:r>
      <w:r>
        <w:rPr>
          <w:rtl/>
          <w:bCs/>
          <w:b/>
        </w:rPr>
        <w:t xml:space="preserve">أقرب قطع c ≤ t</w:t>
      </w:r>
      <w:r>
        <w:rPr>
          <w:rtl/>
        </w:rPr>
        <w:t xml:space="preserve">.</w:t>
      </w:r>
    </w:p>
    <w:p>
      <w:pPr>
        <w:numPr>
          <w:ilvl w:val="0"/>
          <w:numId w:val="1052"/>
        </w:numPr>
        <w:pStyle w:val="Compact"/>
        <w:bidi w:val="1"/>
      </w:pPr>
      <w:r>
        <w:rPr>
          <w:rtl/>
          <w:bCs/>
          <w:b/>
        </w:rPr>
        <w:t xml:space="preserve">حالة المتعلم تُحسب عند t:</w:t>
      </w:r>
      <w:r>
        <w:rPr>
          <w:rtl/>
        </w:rPr>
        <w:t xml:space="preserve"> </w:t>
      </w:r>
      <w:r>
        <w:rPr>
          <w:rtl/>
        </w:rPr>
        <w:t xml:space="preserve">GRU بتمرير أمامي على تاريخه حتى t، وWRMF بـ</w:t>
      </w:r>
      <w:r>
        <w:rPr>
          <w:rtl/>
          <w:bCs/>
          <w:b/>
        </w:rPr>
        <w:t xml:space="preserve">fold-in</w:t>
      </w:r>
      <w:r>
        <w:rPr>
          <w:rtl/>
        </w:rPr>
        <w:t xml:space="preserve"> </w:t>
      </w:r>
      <w:r>
        <w:rPr>
          <w:rtl/>
        </w:rPr>
        <w:t xml:space="preserve">(نصف خطوة ALS مغلقة لـ</w:t>
      </w:r>
      <m:oMath>
        <m:sSub>
          <m:e>
            <m:r>
              <m:rPr>
                <m:sty m:val="b"/>
              </m:rPr>
              <m:t>x</m:t>
            </m:r>
          </m:e>
          <m:sub>
            <m:r>
              <m:t>u</m:t>
            </m:r>
          </m:sub>
        </m:sSub>
      </m:oMath>
      <w:r>
        <w:rPr>
          <w:rtl/>
        </w:rPr>
        <w:t xml:space="preserve"> </w:t>
      </w:r>
      <w:r>
        <w:rPr>
          <w:rtl/>
        </w:rPr>
        <w:t xml:space="preserve">بـ</w:t>
      </w:r>
      <m:oMath>
        <m:r>
          <m:t>Y</m:t>
        </m:r>
      </m:oMath>
      <w:r>
        <w:rPr>
          <w:rtl/>
        </w:rPr>
        <w:t xml:space="preserve"> </w:t>
      </w:r>
      <w:r>
        <w:rPr>
          <w:rtl/>
        </w:rPr>
        <w:t xml:space="preserve">ثابتة و</w:t>
      </w:r>
      <m:oMath>
        <m:r>
          <m:t>W</m:t>
        </m:r>
        <m:d>
          <m:dPr>
            <m:begChr m:val="("/>
            <m:endChr m:val=")"/>
            <m:sepChr m:val=""/>
            <m:grow/>
          </m:dPr>
          <m:e>
            <m:r>
              <m:t>t</m:t>
            </m:r>
          </m:e>
        </m:d>
      </m:oMath>
      <w:r>
        <w:rPr>
          <w:rtl/>
        </w:rPr>
        <w:t xml:space="preserve">). لا تدريب، والكلفة تافهة.</w:t>
      </w:r>
    </w:p>
    <w:p>
      <w:pPr>
        <w:numPr>
          <w:ilvl w:val="0"/>
          <w:numId w:val="1052"/>
        </w:numPr>
        <w:pStyle w:val="Compact"/>
        <w:bidi w:val="1"/>
      </w:pPr>
      <w:r>
        <w:rPr>
          <w:rtl/>
        </w:rPr>
        <w:t xml:space="preserve">المكوّنات الخفيفة (Recent-Pop وSKNN وMarkov وقرب التقييم) تُحسب عند t مباشرة.</w:t>
      </w:r>
    </w:p>
    <w:p>
      <w:pPr>
        <w:numPr>
          <w:ilvl w:val="0"/>
          <w:numId w:val="1052"/>
        </w:numPr>
        <w:pStyle w:val="Compact"/>
        <w:bidi w:val="1"/>
      </w:pPr>
      <w:r>
        <w:rPr>
          <w:rtl/>
        </w:rPr>
        <w:t xml:space="preserve">أوزان الهجين هي أوزان القطع c.</w:t>
      </w:r>
    </w:p>
    <w:p>
      <w:pPr>
        <w:numPr>
          <w:ilvl w:val="0"/>
          <w:numId w:val="1052"/>
        </w:numPr>
        <w:pStyle w:val="Compact"/>
        <w:bidi w:val="1"/>
      </w:pPr>
      <w:r>
        <w:rPr>
          <w:rtl/>
        </w:rPr>
        <w:t xml:space="preserve">عند t &lt; 70 لا مكوّن ثقيل متاح: يُستعمل المتاح مع</w:t>
      </w:r>
      <w:r>
        <w:rPr>
          <w:rtl/>
        </w:rPr>
        <w:t xml:space="preserve"> </w:t>
      </w:r>
      <w:r>
        <w:rPr>
          <w:rtl/>
          <w:bCs/>
          <w:b/>
        </w:rPr>
        <w:t xml:space="preserve">إعادة تطبيع الأوزان</w:t>
      </w:r>
      <w:r>
        <w:rPr>
          <w:rtl/>
        </w:rPr>
        <w:t xml:space="preserve">، ويُعرض ذلك للمستخدم.</w:t>
      </w:r>
    </w:p>
    <w:p>
      <w:pPr>
        <w:numPr>
          <w:ilvl w:val="0"/>
          <w:numId w:val="1052"/>
        </w:numPr>
        <w:pStyle w:val="Compact"/>
        <w:bidi w:val="1"/>
      </w:pPr>
      <w:r>
        <w:rPr>
          <w:rtl/>
        </w:rPr>
        <w:t xml:space="preserve">تعرض الواجهة «</w:t>
      </w:r>
      <w:r>
        <w:rPr>
          <w:rtl/>
          <w:bCs/>
          <w:b/>
        </w:rPr>
        <w:t xml:space="preserve">تاريخ النموذج = c</w:t>
      </w:r>
      <w:r>
        <w:rPr>
          <w:rtl/>
        </w:rPr>
        <w:t xml:space="preserve">».</w:t>
      </w:r>
    </w:p>
    <w:p>
      <w:pPr>
        <w:numPr>
          <w:ilvl w:val="0"/>
          <w:numId w:val="1052"/>
        </w:numPr>
        <w:pStyle w:val="Compact"/>
        <w:bidi w:val="1"/>
      </w:pPr>
      <w:r>
        <w:rPr>
          <w:rtl/>
          <w:bCs/>
          <w:b/>
        </w:rPr>
        <w:t xml:space="preserve">لا يُستخرج من إعادة التشغيل أي رقم تقييم</w:t>
      </w:r>
      <w:r>
        <w:rPr>
          <w:rtl/>
        </w:rPr>
        <w:t xml:space="preserve">؛ فالأرقام كلها من الحزام وحده.</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3"/>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3"/>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3"/>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4"/>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4"/>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4"/>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4"/>
        </w:numPr>
        <w:pStyle w:val="Compact"/>
        <w:bidi w:val="1"/>
      </w:pPr>
      <w:r>
        <w:rPr>
          <w:rtl/>
          <w:bCs/>
          <w:b/>
        </w:rPr>
        <w:t xml:space="preserve">المتعلمون المقيَّمون (D-41):</w:t>
      </w:r>
      <w:r>
        <w:rPr>
          <w:rtl/>
        </w:rPr>
        <w:t xml:space="preserve"> </w:t>
      </w:r>
      <w:r>
        <w:rPr>
          <w:rtl/>
        </w:rPr>
        <w:t xml:space="preserve">لهم هدف واحد على الأقل في الاختبار (للمهمة المعنية)، وتفاعل واحد على الأقل مع</w:t>
      </w:r>
      <w:r>
        <w:rPr>
          <w:rtl/>
        </w:rPr>
        <w:t xml:space="preserve"> </w:t>
      </w:r>
      <w:r>
        <w:rPr>
          <w:rtl/>
          <w:bCs/>
          <w:b/>
        </w:rPr>
        <w:t xml:space="preserve">مورد من الكتالوج</w:t>
      </w:r>
      <w:r>
        <w:rPr>
          <w:rtl/>
        </w:rPr>
        <w:t xml:space="preserve"> </w:t>
      </w:r>
      <w:r>
        <w:rPr>
          <w:rtl/>
        </w:rPr>
        <w:t xml:space="preserve">في التدريب. ومن له نقرات تنقل فقط لا يُقيَّم، ويُبلَّغ عدده. و«نسبة المقيَّمين» = المقيَّمون ÷ النشطون بنشاط غير مستبعد في نافذة الهدف، لكل (عرض، أصل).</w:t>
      </w:r>
    </w:p>
    <w:p>
      <w:pPr>
        <w:numPr>
          <w:ilvl w:val="0"/>
          <w:numId w:val="1054"/>
        </w:numPr>
        <w:pStyle w:val="Compact"/>
        <w:bidi w:val="1"/>
      </w:pPr>
      <w:r>
        <w:rPr>
          <w:rtl/>
          <w:bCs/>
          <w:b/>
        </w:rPr>
        <w:t xml:space="preserve">شريحة «قليلي التاريخ» (H4-ب، استكشافية):</w:t>
      </w:r>
      <w:r>
        <w:rPr>
          <w:rtl/>
        </w:rPr>
        <w:t xml:space="preserve"> </w:t>
      </w:r>
      <w:r>
        <w:rPr>
          <w:rtl/>
        </w:rPr>
        <w:t xml:space="preserve">الربع الأدنى (n ≤ Q1، والتعادل عند الحد يدخل) من عدد موارد الكتالوج المختلفة في التدريب بين المقيَّمين في كل (عرض، أصل، مهمة)؛ وتُبلَّغ الحصة الفعلية (≈ 26.3% على التطوير) وعدد من لهم أقل من 5 موارد وحصتهم (≈ 0.7%) لكل زوج (D-28، D-45).</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5"/>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5"/>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5"/>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6"/>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6"/>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6"/>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6"/>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6"/>
        </w:numPr>
        <w:pStyle w:val="Compact"/>
        <w:bidi w:val="1"/>
      </w:pPr>
      <w:r>
        <w:rPr>
          <w:rtl/>
          <w:bCs/>
          <w:b/>
        </w:rPr>
        <w:t xml:space="preserve">H4-ب استكشافية</w:t>
      </w:r>
      <w:r>
        <w:rPr>
          <w:rtl/>
        </w:rPr>
        <w:t xml:space="preserve"> </w:t>
      </w:r>
      <w:r>
        <w:rPr>
          <w:rtl/>
        </w:rPr>
        <w:t xml:space="preserve">خارج العائلة (D-28).</w:t>
      </w:r>
    </w:p>
    <w:p>
      <w:pPr>
        <w:numPr>
          <w:ilvl w:val="0"/>
          <w:numId w:val="1056"/>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 + «لا يكشف التصميم بقوة 80% أثراً أصغر من MDE80 = x»</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 + وصف MDE80 نفسه</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7"/>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7"/>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7"/>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7"/>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r>
        <w:rPr>
          <w:rtl/>
        </w:rPr>
        <w:t xml:space="preserve"> </w:t>
      </w:r>
      <w:r>
        <w:rPr>
          <w:rtl/>
          <w:bCs/>
          <w:b/>
        </w:rPr>
        <w:t xml:space="preserve">إلا بالاستثناء الوحيد D-47</w:t>
      </w:r>
      <w:r>
        <w:rPr>
          <w:rtl/>
        </w:rPr>
        <w:t xml:space="preserve"> </w:t>
      </w:r>
      <w:r>
        <w:rPr>
          <w:rtl/>
        </w:rPr>
        <w:t xml:space="preserve">(معرّفات الطلاب من ثلاثة أعمدة في</w:t>
      </w:r>
      <w:r>
        <w:rPr>
          <w:rtl/>
        </w:rPr>
        <w:t xml:space="preserve"> </w:t>
      </w:r>
      <w:r>
        <w:rPr>
          <w:rStyle w:val="VerbatimChar"/>
          <w:rtl/>
        </w:rPr>
        <w:t xml:space="preserve">studentRegistration</w:t>
      </w:r>
      <w:r>
        <w:rPr>
          <w:rtl/>
        </w:rPr>
        <w:t xml:space="preserve"> </w:t>
      </w:r>
      <w:r>
        <w:rPr>
          <w:rtl/>
        </w:rPr>
        <w:t xml:space="preserve">لترشيح تدريب H4-أ، بسجل وصول واختبار وحدة؛ القسم 2.6). والمعرّفات لا تحمل سلوكاً ولا نتيجة، فلا تسرب منها.</w:t>
      </w:r>
    </w:p>
    <w:p>
      <w:pPr>
        <w:numPr>
          <w:ilvl w:val="0"/>
          <w:numId w:val="1057"/>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8"/>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8"/>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w:t>
      </w:r>
    </w:p>
    <w:p>
      <w:pPr>
        <w:numPr>
          <w:ilvl w:val="0"/>
          <w:numId w:val="1058"/>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8"/>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والهجين</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جدول لكل فرضية (الجدول 2-ب) قبل التجميد (D-25، D-46)</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σ وMDE80 لـH2-أ من زوجها (D-46)</w:t>
            </w:r>
          </w:p>
        </w:tc>
        <w:tc>
          <w:tcPr/>
          <w:p>
            <w:pPr>
              <w:pStyle w:val="Compact"/>
              <w:bidi w:val="1"/>
              <w:jc w:val="left"/>
            </w:pPr>
            <w:r>
              <w:rPr>
                <w:rtl/>
              </w:rPr>
              <w:t xml:space="preserve">11-13</w:t>
            </w:r>
          </w:p>
        </w:tc>
        <w:tc>
          <w:tcPr/>
          <w:p>
            <w:pPr>
              <w:pStyle w:val="Compact"/>
              <w:bidi w:val="1"/>
              <w:jc w:val="left"/>
            </w:pPr>
            <w:r>
              <w:rPr>
                <w:rtl/>
              </w:rPr>
              <w:t xml:space="preserve">E3</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w:t>
            </w:r>
          </w:p>
        </w:tc>
        <w:tc>
          <w:tcPr/>
          <w:p>
            <w:pPr>
              <w:pStyle w:val="Compact"/>
              <w:bidi w:val="1"/>
              <w:jc w:val="left"/>
            </w:pPr>
            <w:r>
              <w:rPr>
                <w:rtl/>
              </w:rPr>
              <w:t xml:space="preserve">جدول MDE80 الكامل (H3 بعد E5، وH4-أ بعد E6ب، وH1 بعد E7ب) في الجدول 2-ب</w:t>
            </w:r>
          </w:p>
        </w:tc>
        <w:tc>
          <w:tcPr/>
          <w:p>
            <w:pPr>
              <w:pStyle w:val="Compact"/>
              <w:bidi w:val="1"/>
              <w:jc w:val="left"/>
            </w:pPr>
            <w:r>
              <w:rPr>
                <w:rtl/>
              </w:rPr>
              <w:t xml:space="preserve">12-09 → 12-11</w:t>
            </w:r>
          </w:p>
        </w:tc>
        <w:tc>
          <w:tcPr/>
          <w:p>
            <w:pPr>
              <w:pStyle w:val="Compact"/>
              <w:bidi w:val="1"/>
              <w:jc w:val="left"/>
            </w:pPr>
            <w:r>
              <w:rPr>
                <w:rtl/>
              </w:rPr>
              <w:t xml:space="preserve">E5، E6ب، E7ب</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σ وMDE80 لـH2-أ (D-46)</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59"/>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59"/>
        </w:numPr>
        <w:pStyle w:val="Compact"/>
        <w:bidi w:val="1"/>
      </w:pPr>
      <w:r>
        <w:rPr>
          <w:rtl/>
          <w:bCs/>
          <w:b/>
        </w:rPr>
        <w:t xml:space="preserve">خطوط الأساس قبل المقترح:</w:t>
      </w:r>
      <w:r>
        <w:rPr>
          <w:rtl/>
        </w:rPr>
        <w:t xml:space="preserve"> </w:t>
      </w:r>
      <w:r>
        <w:rPr>
          <w:rtl/>
        </w:rPr>
        <w:t xml:space="preserve">E2، ثم E3 وE4 بالتوازي؛ وσ وMDE80 لكل فرضية من زوجها الفعلي فور جاهزيته (H2-أ بعد E3، وH3 بعد E5، وH4-أ بعد E6ب، وH1 بعد E7ب؛ D-46).</w:t>
      </w:r>
    </w:p>
    <w:p>
      <w:pPr>
        <w:numPr>
          <w:ilvl w:val="0"/>
          <w:numId w:val="1059"/>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59"/>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59"/>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 باستثناء وحيد موثق (D-47): قراءة</w:t>
      </w:r>
      <w:r>
        <w:rPr>
          <w:rtl/>
        </w:rPr>
        <w:t xml:space="preserve"> </w:t>
      </w:r>
      <w:r>
        <w:rPr>
          <w:rStyle w:val="VerbatimChar"/>
          <w:rtl/>
        </w:rPr>
        <w:t xml:space="preserve">code_module, code_presentation, id_student</w:t>
      </w:r>
      <w:r>
        <w:rPr>
          <w:rtl/>
        </w:rPr>
        <w:t xml:space="preserve"> </w:t>
      </w:r>
      <w:r>
        <w:rPr>
          <w:rtl/>
        </w:rPr>
        <w:t xml:space="preserve">من</w:t>
      </w:r>
      <w:r>
        <w:rPr>
          <w:rtl/>
        </w:rPr>
        <w:t xml:space="preserve"> </w:t>
      </w:r>
      <w:r>
        <w:rPr>
          <w:rStyle w:val="VerbatimChar"/>
          <w:rtl/>
        </w:rPr>
        <w:t xml:space="preserve">studentRegistration</w:t>
      </w:r>
      <w:r>
        <w:rPr>
          <w:rtl/>
        </w:rPr>
        <w:t xml:space="preserve"> </w:t>
      </w:r>
      <w:r>
        <w:rPr>
          <w:rtl/>
        </w:rPr>
        <w:t xml:space="preserve">لعروض 2014 بـ</w:t>
      </w:r>
      <w:r>
        <w:rPr>
          <w:rStyle w:val="VerbatimChar"/>
          <w:rtl/>
        </w:rPr>
        <w:t xml:space="preserve">usecols</w:t>
      </w:r>
      <w:r>
        <w:rPr>
          <w:rtl/>
        </w:rPr>
        <w:t xml:space="preserve">، بلا</w:t>
      </w:r>
      <w:r>
        <w:rPr>
          <w:rtl/>
        </w:rPr>
        <w:t xml:space="preserve"> </w:t>
      </w:r>
      <w:r>
        <w:rPr>
          <w:rStyle w:val="VerbatimChar"/>
          <w:rtl/>
        </w:rPr>
        <w:t xml:space="preserve">date_unregistration</w:t>
      </w:r>
      <w:r>
        <w:rPr>
          <w:rtl/>
        </w:rPr>
        <w:t xml:space="preserve"> </w:t>
      </w:r>
      <w:r>
        <w:rPr>
          <w:rtl/>
        </w:rPr>
        <w:t xml:space="preserve">ولا أي تاريخ أو سلوك، لترشيح تدريب H4-أ، مع سجل وصول واختبار وحدة ومراجعة الزميل.</w:t>
      </w:r>
    </w:p>
    <w:p>
      <w:pPr>
        <w:numPr>
          <w:ilvl w:val="0"/>
          <w:numId w:val="1059"/>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60"/>
        </w:numPr>
        <w:pStyle w:val="Compact"/>
        <w:bidi w:val="1"/>
      </w:pPr>
      <w:r>
        <w:rPr>
          <w:rtl/>
        </w:rPr>
        <w:t xml:space="preserve">☐ مجموعة الاستبعاد E بالأنواع الخمسة مطبَّقة (نهائية؛ D-38).</w:t>
      </w:r>
    </w:p>
    <w:p>
      <w:pPr>
        <w:numPr>
          <w:ilvl w:val="0"/>
          <w:numId w:val="1060"/>
        </w:numPr>
        <w:pStyle w:val="Compact"/>
        <w:bidi w:val="1"/>
      </w:pPr>
      <w:r>
        <w:rPr>
          <w:rtl/>
        </w:rPr>
        <w:t xml:space="preserve">☐ δ = 0.02 وδ_AUC = 0.02 مثبتان (نهائيان؛ D-25، D-27).</w:t>
      </w:r>
    </w:p>
    <w:p>
      <w:pPr>
        <w:numPr>
          <w:ilvl w:val="0"/>
          <w:numId w:val="1060"/>
        </w:numPr>
        <w:pStyle w:val="Compact"/>
        <w:bidi w:val="1"/>
      </w:pPr>
      <w:r>
        <w:rPr>
          <w:rtl/>
        </w:rPr>
        <w:t xml:space="preserve">☐</w:t>
      </w:r>
      <w:r>
        <w:rPr>
          <w:rtl/>
        </w:rPr>
        <w:t xml:space="preserve"> </w:t>
      </w:r>
      <w:r>
        <w:rPr>
          <w:rtl/>
          <w:bCs/>
          <w:b/>
        </w:rPr>
        <w:t xml:space="preserve">جدول MDE80 لكل فرضية مكتوب</w:t>
      </w:r>
      <w:r>
        <w:rPr>
          <w:rtl/>
        </w:rPr>
        <w:t xml:space="preserve"> </w:t>
      </w:r>
      <w:r>
        <w:rPr>
          <w:rtl/>
        </w:rPr>
        <w:t xml:space="preserve">(الجدول 2-ب) من زوجها الفعلي على نوافذ اختبار 2013، وحالة بند MDE80 &gt; 2δ محسومة لكل فرضية (D-25، D-46، D-48).</w:t>
      </w:r>
    </w:p>
    <w:p>
      <w:pPr>
        <w:numPr>
          <w:ilvl w:val="0"/>
          <w:numId w:val="1060"/>
        </w:numPr>
        <w:pStyle w:val="Compact"/>
        <w:bidi w:val="1"/>
      </w:pPr>
      <w:r>
        <w:rPr>
          <w:rtl/>
        </w:rPr>
        <w:t xml:space="preserve">☐</w:t>
      </w:r>
      <w:r>
        <w:rPr>
          <w:rtl/>
        </w:rPr>
        <w:t xml:space="preserve"> </w:t>
      </w:r>
      <w:r>
        <w:rPr>
          <w:rtl/>
          <w:bCs/>
          <w:b/>
        </w:rPr>
        <w:t xml:space="preserve">سجل الوصول واختبار الاستثناء D-47</w:t>
      </w:r>
      <w:r>
        <w:rPr>
          <w:rtl/>
        </w:rPr>
        <w:t xml:space="preserve"> </w:t>
      </w:r>
      <w:r>
        <w:rPr>
          <w:rtl/>
        </w:rPr>
        <w:t xml:space="preserve">موثقان ومراجَعان من الزميل، ولا قراءة أخرى لـ2014.</w:t>
      </w:r>
    </w:p>
    <w:p>
      <w:pPr>
        <w:numPr>
          <w:ilvl w:val="0"/>
          <w:numId w:val="1060"/>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60"/>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60"/>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60"/>
        </w:numPr>
        <w:pStyle w:val="Compact"/>
        <w:bidi w:val="1"/>
      </w:pPr>
      <w:r>
        <w:rPr>
          <w:rtl/>
        </w:rPr>
        <w:t xml:space="preserve">☐ حالة GRU-lite موثقة: اجتاز البوابات، أو «محاولة موثقة» مع H3 «غير قابلة للاختبار» وp = 1.</w:t>
      </w:r>
    </w:p>
    <w:p>
      <w:pPr>
        <w:numPr>
          <w:ilvl w:val="0"/>
          <w:numId w:val="1060"/>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60"/>
        </w:numPr>
        <w:pStyle w:val="Compact"/>
        <w:bidi w:val="1"/>
      </w:pPr>
      <w:r>
        <w:rPr>
          <w:rtl/>
        </w:rPr>
        <w:t xml:space="preserve">☐ عائلة Holm (m = 4)، وp ثنائية، وbootstrap-t على العروض: محسومة (D-23، D-24، D-25، D-31).</w:t>
      </w:r>
    </w:p>
    <w:p>
      <w:pPr>
        <w:numPr>
          <w:ilvl w:val="0"/>
          <w:numId w:val="1060"/>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60"/>
        </w:numPr>
        <w:pStyle w:val="Compact"/>
        <w:bidi w:val="1"/>
      </w:pPr>
      <w:r>
        <w:rPr>
          <w:rtl/>
        </w:rPr>
        <w:t xml:space="preserve">☐ أمر تشغيل واحد يعيد إنتاج نتائج التطوير من الصفر.</w:t>
      </w:r>
    </w:p>
    <w:p>
      <w:pPr>
        <w:numPr>
          <w:ilvl w:val="0"/>
          <w:numId w:val="1060"/>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 (9) واجهة إعادة التشغيل توضيحية: تستعمل معاملات أقرب قطع ≤ t، ولا يُستخرج منها رقم تقييم (D-49)؛ (10) MDE80 التوضيحي على التطوير ≈ 0.053 &gt; 2δ، فـ«غير حاسمة» متوقعة لبعض الفرضيات، وتُوصف بنص D-48.</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rPr>
        <w:t xml:space="preserve">وصدرت بعد الاجتماع 02 قرارات تنفيذية لتثبيت منصة التجارب (ADR-004 §4-مكرر)، وطُبّقت كذلك:</w:t>
      </w:r>
    </w:p>
    <w:p>
      <w:pPr>
        <w:bidi w:val="1"/>
      </w:pPr>
      <w:r>
        <w:rPr>
          <w:rtl/>
          <w:bCs/>
          <w:b/>
        </w:rPr>
        <w:t xml:space="preserve">جدول 28 (تابع): القرارات التنفيذية D-41…D-49 ومواضعها في الوثيقة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D-41</w:t>
            </w:r>
          </w:p>
        </w:tc>
        <w:tc>
          <w:tcPr/>
          <w:p>
            <w:pPr>
              <w:pStyle w:val="Compact"/>
              <w:bidi w:val="1"/>
              <w:jc w:val="left"/>
            </w:pPr>
            <w:r>
              <w:rPr>
                <w:rtl/>
              </w:rPr>
              <w:t xml:space="preserve">المقيَّم = تفاعل مع مورد من الكتالوج في التدريب + هدف؛ صاحب التنقل وحده يُعدّ ولا يُقيَّم</w:t>
            </w:r>
          </w:p>
        </w:tc>
        <w:tc>
          <w:tcPr/>
          <w:p>
            <w:pPr>
              <w:pStyle w:val="Compact"/>
              <w:bidi w:val="1"/>
              <w:jc w:val="left"/>
            </w:pPr>
            <w:r>
              <w:rPr>
                <w:rtl/>
              </w:rPr>
              <w:t xml:space="preserve">§3.8 الخطوة 8، §5.2</w:t>
            </w:r>
          </w:p>
        </w:tc>
      </w:tr>
      <w:tr>
        <w:tc>
          <w:tcPr/>
          <w:p>
            <w:pPr>
              <w:pStyle w:val="Compact"/>
              <w:bidi w:val="1"/>
              <w:jc w:val="left"/>
            </w:pPr>
            <w:r>
              <w:rPr>
                <w:rtl/>
              </w:rPr>
              <w:t xml:space="preserve">D-42</w:t>
            </w:r>
          </w:p>
        </w:tc>
        <w:tc>
          <w:tcPr/>
          <w:p>
            <w:pPr>
              <w:pStyle w:val="Compact"/>
              <w:bidi w:val="1"/>
              <w:jc w:val="left"/>
            </w:pPr>
            <w:r>
              <w:rPr>
                <w:rtl/>
              </w:rPr>
              <w:t xml:space="preserve">اختيار الإعداد لكل (عرض، أصل، مهمة)؛ الفرضيات والهجين على المهمة A وحدها</w:t>
            </w:r>
          </w:p>
        </w:tc>
        <w:tc>
          <w:tcPr/>
          <w:p>
            <w:pPr>
              <w:pStyle w:val="Compact"/>
              <w:bidi w:val="1"/>
              <w:jc w:val="left"/>
            </w:pPr>
            <w:r>
              <w:rPr>
                <w:rtl/>
              </w:rPr>
              <w:t xml:space="preserve">§4.4.2</w:t>
            </w:r>
          </w:p>
        </w:tc>
      </w:tr>
      <w:tr>
        <w:tc>
          <w:tcPr/>
          <w:p>
            <w:pPr>
              <w:pStyle w:val="Compact"/>
              <w:bidi w:val="1"/>
              <w:jc w:val="left"/>
            </w:pPr>
            <w:r>
              <w:rPr>
                <w:rtl/>
              </w:rPr>
              <w:t xml:space="preserve">D-43</w:t>
            </w:r>
          </w:p>
        </w:tc>
        <w:tc>
          <w:tcPr/>
          <w:p>
            <w:pPr>
              <w:pStyle w:val="Compact"/>
              <w:bidi w:val="1"/>
              <w:jc w:val="left"/>
            </w:pPr>
            <w:r>
              <w:rPr>
                <w:rtl/>
              </w:rPr>
              <w:t xml:space="preserve">تشابه Item-kNN على الأعمدة الثنائية، والإشارة في التجميع فقط</w:t>
            </w:r>
          </w:p>
        </w:tc>
        <w:tc>
          <w:tcPr/>
          <w:p>
            <w:pPr>
              <w:pStyle w:val="Compact"/>
              <w:bidi w:val="1"/>
              <w:jc w:val="left"/>
            </w:pPr>
            <w:r>
              <w:rPr>
                <w:rtl/>
              </w:rPr>
              <w:t xml:space="preserve">§4.2.4</w:t>
            </w:r>
          </w:p>
        </w:tc>
      </w:tr>
      <w:tr>
        <w:tc>
          <w:tcPr/>
          <w:p>
            <w:pPr>
              <w:pStyle w:val="Compact"/>
              <w:bidi w:val="1"/>
              <w:jc w:val="left"/>
            </w:pPr>
            <w:r>
              <w:rPr>
                <w:rtl/>
              </w:rPr>
              <w:t xml:space="preserve">D-44</w:t>
            </w:r>
          </w:p>
        </w:tc>
        <w:tc>
          <w:tcPr/>
          <w:p>
            <w:pPr>
              <w:pStyle w:val="Compact"/>
              <w:bidi w:val="1"/>
              <w:jc w:val="left"/>
            </w:pPr>
            <w:r>
              <w:rPr>
                <w:rtl/>
              </w:rPr>
              <w:t xml:space="preserve">ملف القرب في CBF مطبَّع لكل مورد إلى مجموع 1</w:t>
            </w:r>
          </w:p>
        </w:tc>
        <w:tc>
          <w:tcPr/>
          <w:p>
            <w:pPr>
              <w:pStyle w:val="Compact"/>
              <w:bidi w:val="1"/>
              <w:jc w:val="left"/>
            </w:pPr>
            <w:r>
              <w:rPr>
                <w:rtl/>
              </w:rPr>
              <w:t xml:space="preserve">§4.2.9</w:t>
            </w:r>
          </w:p>
        </w:tc>
      </w:tr>
      <w:tr>
        <w:tc>
          <w:tcPr/>
          <w:p>
            <w:pPr>
              <w:pStyle w:val="Compact"/>
              <w:bidi w:val="1"/>
              <w:jc w:val="left"/>
            </w:pPr>
            <w:r>
              <w:rPr>
                <w:rtl/>
              </w:rPr>
              <w:t xml:space="preserve">D-45</w:t>
            </w:r>
          </w:p>
        </w:tc>
        <w:tc>
          <w:tcPr/>
          <w:p>
            <w:pPr>
              <w:pStyle w:val="Compact"/>
              <w:bidi w:val="1"/>
              <w:jc w:val="left"/>
            </w:pPr>
            <w:r>
              <w:rPr>
                <w:rtl/>
              </w:rPr>
              <w:t xml:space="preserve">شريحة «قليلي التاريخ» n ≤ Q1، والحصة الفعلية (≈ 26.3%) تُبلَّغ</w:t>
            </w:r>
          </w:p>
        </w:tc>
        <w:tc>
          <w:tcPr/>
          <w:p>
            <w:pPr>
              <w:pStyle w:val="Compact"/>
              <w:bidi w:val="1"/>
              <w:jc w:val="left"/>
            </w:pPr>
            <w:r>
              <w:rPr>
                <w:rtl/>
              </w:rPr>
              <w:t xml:space="preserve">§2.6، §5.2</w:t>
            </w:r>
          </w:p>
        </w:tc>
      </w:tr>
      <w:tr>
        <w:tc>
          <w:tcPr/>
          <w:p>
            <w:pPr>
              <w:pStyle w:val="Compact"/>
              <w:bidi w:val="1"/>
              <w:jc w:val="left"/>
            </w:pPr>
            <w:r>
              <w:rPr>
                <w:rtl/>
              </w:rPr>
              <w:t xml:space="preserve">D-46</w:t>
            </w:r>
          </w:p>
        </w:tc>
        <w:tc>
          <w:tcPr/>
          <w:p>
            <w:pPr>
              <w:pStyle w:val="Compact"/>
              <w:bidi w:val="1"/>
              <w:jc w:val="left"/>
            </w:pPr>
            <w:r>
              <w:rPr>
                <w:rtl/>
              </w:rPr>
              <w:t xml:space="preserve">σ وMDE80 لكل فرضية من زوجها الفعلي على نوافذ اختبار 2013؛ جدول MDE80 قبل التجميد؛ B5−B3 توضيحي</w:t>
            </w:r>
          </w:p>
        </w:tc>
        <w:tc>
          <w:tcPr/>
          <w:p>
            <w:pPr>
              <w:pStyle w:val="Compact"/>
              <w:bidi w:val="1"/>
              <w:jc w:val="left"/>
            </w:pPr>
            <w:r>
              <w:rPr>
                <w:rtl/>
              </w:rPr>
              <w:t xml:space="preserve">§2.2 (الجدول 2-ب)، الجدول 26، §7.2، §7.3</w:t>
            </w:r>
          </w:p>
        </w:tc>
      </w:tr>
      <w:tr>
        <w:tc>
          <w:tcPr/>
          <w:p>
            <w:pPr>
              <w:pStyle w:val="Compact"/>
              <w:bidi w:val="1"/>
              <w:jc w:val="left"/>
            </w:pPr>
            <w:r>
              <w:rPr>
                <w:rtl/>
              </w:rPr>
              <w:t xml:space="preserve">D-47</w:t>
            </w:r>
          </w:p>
        </w:tc>
        <w:tc>
          <w:tcPr/>
          <w:p>
            <w:pPr>
              <w:pStyle w:val="Compact"/>
              <w:bidi w:val="1"/>
              <w:jc w:val="left"/>
            </w:pPr>
            <w:r>
              <w:rPr>
                <w:rtl/>
              </w:rPr>
              <w:t xml:space="preserve">استثناء القراءة المحدودة (ثلاثة أعمدة من</w:t>
            </w:r>
            <w:r>
              <w:rPr>
                <w:rtl/>
              </w:rPr>
              <w:t xml:space="preserve"> </w:t>
            </w:r>
            <w:r>
              <w:rPr>
                <w:rStyle w:val="VerbatimChar"/>
                <w:rtl/>
              </w:rPr>
              <w:t xml:space="preserve">studentRegistration</w:t>
            </w:r>
            <w:r>
              <w:rPr>
                <w:rtl/>
              </w:rPr>
              <w:t xml:space="preserve"> </w:t>
            </w:r>
            <w:r>
              <w:rPr>
                <w:rtl/>
              </w:rPr>
              <w:t xml:space="preserve">لـ2014) لترشيح تدريب H4-أ</w:t>
            </w:r>
          </w:p>
        </w:tc>
        <w:tc>
          <w:tcPr/>
          <w:p>
            <w:pPr>
              <w:pStyle w:val="Compact"/>
              <w:bidi w:val="1"/>
              <w:jc w:val="left"/>
            </w:pPr>
            <w:r>
              <w:rPr>
                <w:rtl/>
              </w:rPr>
              <w:t xml:space="preserve">§2.6، §5.9، §7.2، §7.3</w:t>
            </w:r>
          </w:p>
        </w:tc>
      </w:tr>
      <w:tr>
        <w:tc>
          <w:tcPr/>
          <w:p>
            <w:pPr>
              <w:pStyle w:val="Compact"/>
              <w:bidi w:val="1"/>
              <w:jc w:val="left"/>
            </w:pPr>
            <w:r>
              <w:rPr>
                <w:rtl/>
              </w:rPr>
              <w:t xml:space="preserve">D-48</w:t>
            </w:r>
          </w:p>
        </w:tc>
        <w:tc>
          <w:tcPr/>
          <w:p>
            <w:pPr>
              <w:pStyle w:val="Compact"/>
              <w:bidi w:val="1"/>
              <w:jc w:val="left"/>
            </w:pPr>
            <w:r>
              <w:rPr>
                <w:rtl/>
              </w:rPr>
              <w:t xml:space="preserve">δ يبقى؛ وصف مسجل يُلحق بـ«غير حاسمة»؛ بند MDE80 &gt; 2δ مفعَّل مؤقتاً</w:t>
            </w:r>
          </w:p>
        </w:tc>
        <w:tc>
          <w:tcPr/>
          <w:p>
            <w:pPr>
              <w:pStyle w:val="Compact"/>
              <w:bidi w:val="1"/>
              <w:jc w:val="left"/>
            </w:pPr>
            <w:r>
              <w:rPr>
                <w:rtl/>
              </w:rPr>
              <w:t xml:space="preserve">§2.2 (الجداول 2 و2-ب و3)، §5.7.1، §8</w:t>
            </w:r>
          </w:p>
        </w:tc>
      </w:tr>
      <w:tr>
        <w:tc>
          <w:tcPr/>
          <w:p>
            <w:pPr>
              <w:pStyle w:val="Compact"/>
              <w:bidi w:val="1"/>
              <w:jc w:val="left"/>
            </w:pPr>
            <w:r>
              <w:rPr>
                <w:rtl/>
              </w:rPr>
              <w:t xml:space="preserve">D-49</w:t>
            </w:r>
          </w:p>
        </w:tc>
        <w:tc>
          <w:tcPr/>
          <w:p>
            <w:pPr>
              <w:pStyle w:val="Compact"/>
              <w:bidi w:val="1"/>
              <w:jc w:val="left"/>
            </w:pPr>
            <w:r>
              <w:rPr>
                <w:rtl/>
              </w:rPr>
              <w:t xml:space="preserve">قواعد إعادة التشغيل في الواجهة</w:t>
            </w:r>
          </w:p>
        </w:tc>
        <w:tc>
          <w:tcPr/>
          <w:p>
            <w:pPr>
              <w:pStyle w:val="Compact"/>
              <w:bidi w:val="1"/>
              <w:jc w:val="left"/>
            </w:pPr>
            <w:r>
              <w:rPr>
                <w:rtl/>
              </w:rPr>
              <w:t xml:space="preserve">§4.8، §8</w:t>
            </w:r>
          </w:p>
        </w:tc>
      </w:tr>
    </w:tbl>
    <w:p>
      <w:pPr>
        <w:bidi w:val="1"/>
      </w:pPr>
      <w:r>
        <w:rPr>
          <w:rtl/>
          <w:bCs/>
          <w:b/>
        </w:rPr>
        <w:t xml:space="preserve">ما بقي مفتوحاً:</w:t>
      </w:r>
      <w:r>
        <w:rPr>
          <w:rtl/>
        </w:rPr>
        <w:t xml:space="preserve"> </w:t>
      </w:r>
      <w:r>
        <w:rPr>
          <w:rtl/>
        </w:rPr>
        <w:t xml:space="preserve">نقطة واحدة تحتاج تأكيداً صريحاً من المشرف: أن D-46 (σ لـH1 من زوجها الفعلي بعد E7ب)</w:t>
      </w:r>
      <w:r>
        <w:rPr>
          <w:rtl/>
        </w:rPr>
        <w:t xml:space="preserve"> </w:t>
      </w:r>
      <w:r>
        <w:rPr>
          <w:rtl/>
          <w:bCs/>
          <w:b/>
        </w:rPr>
        <w:t xml:space="preserve">يجُبّ موعد 11-13</w:t>
      </w:r>
      <w:r>
        <w:rPr>
          <w:rtl/>
        </w:rPr>
        <w:t xml:space="preserve"> </w:t>
      </w:r>
      <w:r>
        <w:rPr>
          <w:rtl/>
        </w:rPr>
        <w:t xml:space="preserve">الوارد في D-25 بالنسبة إلى H1، فيبقى 11-13 لـH2-أ وحدها (وقد كُتبت الوثيقة على هذا الفهم). وما عدا ذلك متابعات مجدولة سلفاً لا تغيّر أي عتبة أو قاعدة: جدول MDE80 الكامل قبل التجميد (12-09 → 12-11)، وتوثيق حالة الأرضية بعد E7أ (11-25)، وحالة GRU-lite بعد E5 (12-03)، وتحقق T5 من المراجع [39]–[57] قبل الاستشهاد بها في الرسالة (T17، 11-10).</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2026-10-24T21:03:09Z</dcterms:created>
  <dcterms:modified xsi:type="dcterms:W3CDTF">2026-10-24T21:03:09Z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