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الدراسة المرجعية وحالة الفن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Literature Review &amp; State of the Art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الأولى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4928_277087200">
            <w:r>
              <w:rPr>
                <w:webHidden/>
                <w:rStyle w:val="IndexLink"/>
                <w:rtl w:val="true"/>
              </w:rPr>
              <w:t>الدراسة المرجعية وحالة الفن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0_277087200">
            <w:r>
              <w:rPr>
                <w:webHidden/>
                <w:rStyle w:val="IndexLink"/>
                <w:rtl w:val="true"/>
              </w:rPr>
              <w:t>تمهيد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2_277087200">
            <w:r>
              <w:rPr>
                <w:webHidden/>
                <w:rStyle w:val="IndexLink"/>
                <w:rtl w:val="true"/>
              </w:rPr>
              <w:t>قائمة المختصرات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34_277087200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 الدراسة المرجعية ومنهجيتها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6_277087200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الهدف من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38_277087200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مصادر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0_277087200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معايير الإدراج والاستبعاد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2_277087200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منهجية التحليل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4_277087200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قيود منهجية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46_277087200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الخلفية النظرية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48_277087200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أنظمة التوصية وأصنافها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0_277087200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التغذية الراجعة الصريحة والضمنية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2_277087200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مفهوم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سلوك المتعلم</w:t>
            </w:r>
            <w:r>
              <w:rPr>
                <w:rStyle w:val="IndexLink"/>
                <w:rtl w:val="true"/>
              </w:rPr>
              <w:t xml:space="preserve">» </w:t>
            </w:r>
            <w:r>
              <w:rPr>
                <w:rStyle w:val="IndexLink"/>
                <w:rtl w:val="true"/>
              </w:rPr>
              <w:t>وإشاراته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4_277087200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البدء البارد والتناثر وانحياز الشعبية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56_277087200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مقاييس التقييم وبروتوكولات التقسيم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58_277087200">
            <w:r>
              <w:rPr>
                <w:webHidden/>
                <w:rStyle w:val="IndexLink"/>
              </w:rPr>
              <w:t>2.5.1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مقاييس قوائم التوصية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Top-N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60_277087200">
            <w:r>
              <w:rPr>
                <w:webHidden/>
                <w:rStyle w:val="IndexLink"/>
              </w:rPr>
              <w:t>2.5.2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التقسيم وأثرها في الأرقام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62_277087200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تصنيف الأعمال السابقة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Taxonomy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4_277087200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معيار التصنيف وبنيته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6_277087200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تحليل سلوك المتعلم وبناء الملف الشخصي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68_277087200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التصفية التعاونية والمحتوى والهجينة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0_277087200">
            <w:r>
              <w:rPr>
                <w:webHidden/>
                <w:rStyle w:val="IndexLink"/>
              </w:rPr>
              <w:t>3.3.1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تحويل الآثار الضمنية إلى تفضيلات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2_277087200">
            <w:r>
              <w:rPr>
                <w:webHidden/>
                <w:rStyle w:val="IndexLink"/>
              </w:rPr>
              <w:t>3.3.2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الهجين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مع </w:t>
            </w:r>
            <w:r>
              <w:rPr>
                <w:rStyle w:val="IndexLink"/>
              </w:rPr>
              <w:t>CBF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أو الملف أو السمات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4_277087200">
            <w:r>
              <w:rPr>
                <w:webHidden/>
                <w:rStyle w:val="IndexLink"/>
              </w:rPr>
              <w:t>3.3.3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القائم على النموذج على كتالوجات المقررات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4976_277087200">
            <w:r>
              <w:rPr>
                <w:webHidden/>
                <w:rStyle w:val="IndexLink"/>
              </w:rPr>
              <w:t>3.3.4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الفجوة داخل المحور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78_277087200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النماذج التسلسلية والعميقة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0_277087200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د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الرسوم البيانية والمعرفية والتعلم المعزّز وقطّاع الطرق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2_277087200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هـ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التجميع والتعلم الآلي الكلاسيكي والتعلّم بالترتيب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4_277087200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عرضية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يُنقل من خارج مجال التعليم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86_277087200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تحليلات التعلم على </w:t>
            </w:r>
            <w:r>
              <w:rPr>
                <w:rStyle w:val="IndexLink"/>
              </w:rPr>
              <w:t>OULAD</w:t>
            </w:r>
            <w:r>
              <w:rPr>
                <w:rStyle w:val="IndexLink"/>
                <w:rtl w:val="true"/>
              </w:rPr>
              <w:t xml:space="preserve"> (</w:t>
            </w:r>
            <w:r>
              <w:rPr>
                <w:rStyle w:val="IndexLink"/>
                <w:rtl w:val="true"/>
              </w:rPr>
              <w:t>خارج المجموعة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88_277087200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التحليل المقارن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0_277087200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المصفوفة المختصرة للمراجع عالية الصلة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2_277087200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البيانات المستخدمة في الأدبيات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4_277087200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إشارات السلوك ومن استخدمها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4996_277087200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المقاييس والبروتوكولات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4998_277087200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النقد المنهجي وجودة الأدلة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0_277087200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مصداقية الأوعية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2_277087200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تباينات رقمية موثّقة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4_277087200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البيانات الاصطناعية وغير الموصوفة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6_277087200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تقييم غير متكافئة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08_277087200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غياب خطوط الأساس القوية والدلالة الإحصائية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0_277087200">
            <w:r>
              <w:rPr>
                <w:webHidden/>
                <w:rStyle w:val="IndexLink"/>
              </w:rPr>
              <w:t>5.6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دروس لتصميم تجارب الرسالة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2_277087200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ما تتفق عليه الأدبيات وما تختلف فيه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4_277087200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الاتفاق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16_277087200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الاختلاف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18_277087200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الفجوة البحثية ونقطة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0_277087200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اشتقاق الفجوة من المصفوفة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2_277087200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صياغة الفجوة البحثية ومواءمتها مع قرارات الاجتماع </w:t>
            </w:r>
            <w:r>
              <w:rPr>
                <w:rStyle w:val="IndexLink"/>
              </w:rPr>
              <w:t>01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4_277087200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تقييد الجدّة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أعمال أساسية خارج المجموعة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6_277087200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الاستنتاجات الأولية وارتباطها بأسئلة البحث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28_277087200">
            <w:r>
              <w:rPr>
                <w:webHidden/>
                <w:rStyle w:val="IndexLink"/>
              </w:rPr>
              <w:t>7.5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0_277087200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خلاصة الفصل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2_277087200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قائمة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4_277087200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المراجع المحللة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38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5036_277087200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مراجع من خارج المستودع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39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51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80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38_277087200">
            <w:r>
              <w:rPr>
                <w:webHidden/>
                <w:rStyle w:val="IndexLink"/>
                <w:rtl w:val="true"/>
              </w:rPr>
              <w:t>ملحق أ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مصفوفة المقارنة الكاملة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5040_277087200">
            <w:r>
              <w:rPr>
                <w:webHidden/>
                <w:rStyle w:val="IndexLink"/>
                <w:rtl w:val="true"/>
              </w:rPr>
              <w:t>ملحق ب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جدول مصداقية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94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4928_277087200"/>
      <w:bookmarkEnd w:id="0"/>
      <w:r>
        <w:rPr>
          <w:rtl w:val="true"/>
        </w:rPr>
        <w:t>الدراسة المرجعية وحالة الفن</w:t>
      </w:r>
    </w:p>
    <w:p>
      <w:pPr>
        <w:pStyle w:val="Heading2"/>
        <w:bidi w:val="1"/>
        <w:rPr/>
      </w:pPr>
      <w:bookmarkStart w:id="1" w:name="__RefHeading___Toc14930_277087200"/>
      <w:bookmarkStart w:id="2" w:name="تمهيد"/>
      <w:bookmarkEnd w:id="1"/>
      <w:r>
        <w:rPr>
          <w:rtl w:val="true"/>
        </w:rPr>
        <w:t>تمهيد</w:t>
      </w:r>
    </w:p>
    <w:p>
      <w:pPr>
        <w:pStyle w:val="Normal"/>
        <w:bidi w:val="1"/>
        <w:rPr/>
      </w:pPr>
      <w:r>
        <w:rPr>
          <w:rtl w:val="true"/>
        </w:rPr>
        <w:t>يحلّ هذا الفصل محلّ الدراسة المرجعية في خطة البحث الأصلية، التي اقتصرت على تسعة مراجع لخّصتها دون مقارنة</w:t>
      </w:r>
      <w:r>
        <w:rPr>
          <w:rtl w:val="true"/>
        </w:rPr>
        <w:t xml:space="preserve">. </w:t>
      </w:r>
      <w:r>
        <w:rPr>
          <w:rtl w:val="true"/>
        </w:rPr>
        <w:t xml:space="preserve">ويصنّف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محاور موضوعية، ويقابل بينها في البيانات والخوارزميات وإشارات السلوك والمقاييس والنتائج والقيود، ثم يستخلص الفجوة البحثية ويربطها بأسئلة البحث المعتمدة في اجتماع الإشراف </w:t>
      </w:r>
      <w:r>
        <w:rPr/>
        <w:t>01</w:t>
      </w:r>
      <w:r>
        <w:rPr>
          <w:rtl w:val="true"/>
        </w:rPr>
        <w:t xml:space="preserve">. </w:t>
      </w:r>
      <w:r>
        <w:rPr>
          <w:rtl w:val="true"/>
        </w:rPr>
        <w:t xml:space="preserve">والترقيم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هو 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 xml:space="preserve">أما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>فمراجع من خارج المستودع</w:t>
      </w:r>
      <w:r>
        <w:rPr>
          <w:rtl w:val="true"/>
        </w:rPr>
        <w:t xml:space="preserve">: </w:t>
      </w:r>
      <w:r>
        <w:rPr>
          <w:rtl w:val="true"/>
        </w:rPr>
        <w:t xml:space="preserve">أعمال كلاسيكية داعمة أُضيفت لتقييد ادعاء الجدّة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 xml:space="preserve">، ومرجع لتصنيف السياق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 xml:space="preserve">، وأعمال في تحليلات التعلم على </w:t>
      </w:r>
      <w:r>
        <w:rPr/>
        <w:t>OULAD ([49]–[51])</w:t>
      </w:r>
      <w:r>
        <w:rPr>
          <w:rtl w:val="true"/>
        </w:rPr>
        <w:t xml:space="preserve">. </w:t>
      </w:r>
      <w:r>
        <w:rPr>
          <w:rtl w:val="true"/>
        </w:rPr>
        <w:t xml:space="preserve">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 xml:space="preserve">الملحق ب، والقسمان </w:t>
      </w:r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ملاحظة النسخة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هذه النسخة المنقّحة الثانية</w:t>
      </w:r>
      <w:r>
        <w:rPr>
          <w:rtl w:val="true"/>
        </w:rPr>
        <w:t xml:space="preserve">. </w:t>
      </w:r>
      <w:r>
        <w:rPr>
          <w:rtl w:val="true"/>
        </w:rPr>
        <w:t xml:space="preserve">تعالج أولاً تقرير مراجعة الزميل </w:t>
      </w:r>
      <w:r>
        <w:rPr>
          <w:rtl w:val="true"/>
        </w:rPr>
        <w:t>(</w:t>
      </w:r>
      <w:r>
        <w:rPr>
          <w:rStyle w:val="VerbatimChar"/>
        </w:rPr>
        <w:t>docs/meetings/2026-10-24-peer-review-literature-review.md</w:t>
      </w:r>
      <w:r>
        <w:rPr>
          <w:rtl w:val="true"/>
        </w:rPr>
        <w:t>)</w:t>
      </w:r>
      <w:r>
        <w:rPr>
          <w:rtl w:val="true"/>
        </w:rPr>
        <w:t xml:space="preserve">، ثم محضر مراجعة المشرف </w:t>
      </w:r>
      <w:r>
        <w:rPr>
          <w:rtl w:val="true"/>
        </w:rPr>
        <w:t>(</w:t>
      </w:r>
      <w:r>
        <w:rPr>
          <w:rStyle w:val="VerbatimChar"/>
        </w:rPr>
        <w:t>docs/meetings/2026-10-24-review-literature-review.md</w:t>
      </w:r>
      <w:r>
        <w:rPr>
          <w:rtl w:val="true"/>
        </w:rPr>
        <w:t xml:space="preserve">): </w:t>
      </w:r>
      <w:r>
        <w:rPr>
          <w:rtl w:val="true"/>
        </w:rPr>
        <w:t>الملاحظات ج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ج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وم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م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ث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وتواءم الفصل مع قرارات الاجتماع </w:t>
      </w:r>
      <w:r>
        <w:rPr/>
        <w:t>01</w:t>
      </w:r>
      <w:r>
        <w:rPr>
          <w:rtl w:val="true"/>
        </w:rPr>
        <w:t xml:space="preserve"> (</w:t>
      </w:r>
      <w:r>
        <w:rPr/>
        <w:t>D-01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D-22</w:t>
      </w:r>
      <w:r>
        <w:rPr>
          <w:rtl w:val="true"/>
        </w:rPr>
        <w:t xml:space="preserve">) </w:t>
      </w:r>
      <w:r>
        <w:rPr>
          <w:rtl w:val="true"/>
        </w:rPr>
        <w:t xml:space="preserve">ومع </w:t>
      </w:r>
      <w:r>
        <w:rPr/>
        <w:t>ADR-001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ADR-003</w:t>
      </w:r>
      <w:r>
        <w:rPr>
          <w:rtl w:val="true"/>
        </w:rPr>
        <w:t xml:space="preserve">. </w:t>
      </w:r>
      <w:r>
        <w:rPr>
          <w:rtl w:val="true"/>
        </w:rPr>
        <w:t>أما ث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وث</w:t>
      </w:r>
      <w:r>
        <w:rPr/>
        <w:t>6</w:t>
      </w:r>
      <w:r>
        <w:rPr>
          <w:rtl w:val="true"/>
        </w:rPr>
        <w:t>، أي تنظيف القائمة من التنبيهات والرموز الداخلية، فتُنفَّذ عند تجميع الأطروحة كما في المحضر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4932_277087200"/>
      <w:bookmarkEnd w:id="3"/>
      <w:r>
        <w:rPr>
          <w:rtl w:val="true"/>
        </w:rPr>
        <w:t>قائمة المختصرات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41"/>
        <w:gridCol w:w="3955"/>
        <w:gridCol w:w="3692"/>
      </w:tblGrid>
      <w:tr>
        <w:trPr>
          <w:tblHeader w:val="true"/>
        </w:trPr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المختصر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الصيغة الكاملة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هذا الفصل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Alternating Least Squares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المربعات الصغرى المتناوبة لتحليل المصفوفات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BPR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Bayesian Personalized Ranking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خسارة ترتيب زوجية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CBF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Content-Based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القائمة على المحتوى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Convolutional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التلافيفية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Click-Through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النقر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Dempster–Shafer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نظرية الأدلة لدمبستر وشافر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Gated Recurrent Unit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متكررة ببوابات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الإصابة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Hierarchical 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 الهرمي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Knowledge Graph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رسم المعرفة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k-Nearest Neighbors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 Management System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نظام إدارة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 / Bi-LSTM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Bidirectional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lang w:val="en-US" w:eastAsia="en-US" w:bidi="ar-SA"/>
              </w:rPr>
              <w:t>Long Short-Term Memory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الذاكرة الطويلة القصيرة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ثنائية الاتجاه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Learning-to-Rank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التعلّم بالترتيب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/ RMSE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Absolute Error / Root Mean Squared Error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 الخطأ المطلق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جذر متوسط مربع الخطأ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Average Precision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المتوسطة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 / SVD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Matrix Factorization / Singular Value Decomposition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التحليل إلى القيم المنفردة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Massive Open Online Course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مفتوح واسع الانتشار عبر الإنترنت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Reciprocal 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مقلوب الرتبة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Neural 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 العصبونية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Normalized Discounted Cumulative Gain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الكسب التراكمي المخصوم المطبَّع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Open University Learning Analytics Dataset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مجموعة بيانات تحليلات التعلم للجامعة المفتوحة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Radial Basis Function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شبكة عصبونية بدوال أساس شعاعية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Recurrent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المتكررة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SHapley Additive exPlanations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مساهمة الميزات بقيم شابلي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 / V-SKNN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Session-based kNN / Vector SKNN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الجيران الأقربون المبنيون على الجلسة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Technology Acceptance Model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نموذج قبول التقنية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Term Frequency–Inverse Document Frequency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ترجيح المصطلحات في التمثيل النصي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VARK / ILS / FSLSM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أساليب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ومؤشر أساليب التعلم وفق نموذج </w:t>
            </w:r>
            <w:r>
              <w:rPr>
                <w:kern w:val="0"/>
                <w:lang w:val="en-US" w:eastAsia="en-US" w:bidi="ar-SA"/>
              </w:rPr>
              <w:t>Felder–Silverman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استبيانات أسلوب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Virtual Learning Environment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بيئة التعلم الافتراضية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Weighted Regularized Matrix Factorization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الموزون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4" w:name="الدراسة-المرجعية-وحالة-الفن"/>
            <w:bookmarkStart w:id="5" w:name="قائمة-المختصرات"/>
            <w:bookmarkEnd w:id="4"/>
            <w:bookmarkEnd w:id="5"/>
          </w:p>
        </w:tc>
      </w:tr>
    </w:tbl>
    <w:p>
      <w:pPr>
        <w:pStyle w:val="Heading1"/>
        <w:bidi w:val="1"/>
        <w:rPr/>
      </w:pPr>
      <w:bookmarkStart w:id="6" w:name="__RefHeading___Toc14934_277087200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 الدراسة المرجعية ومنهجيتها</w:t>
      </w:r>
    </w:p>
    <w:p>
      <w:pPr>
        <w:pStyle w:val="Heading2"/>
        <w:bidi w:val="1"/>
        <w:rPr/>
      </w:pPr>
      <w:bookmarkStart w:id="7" w:name="__RefHeading___Toc14936_277087200"/>
      <w:bookmarkStart w:id="8" w:name="الهدف-من-الدراسة-المرجعية"/>
      <w:bookmarkEnd w:id="7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الهدف من الدراسة المرجعية</w:t>
      </w:r>
    </w:p>
    <w:p>
      <w:pPr>
        <w:pStyle w:val="Normal"/>
        <w:bidi w:val="1"/>
        <w:rPr/>
      </w:pPr>
      <w:r>
        <w:rPr>
          <w:rtl w:val="true"/>
        </w:rPr>
        <w:t>للدراسة المرجعية أربعة أهداف مترابطة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تحديد الأساليب المستخدمة في التوصية بالمحتوى التعليمي، ولا سيما ما يعتمد منها على سلوك المتعلم المسجَّل في المنصات بدلاً من التقييمات الصريحة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تحديد إشارات السلوك </w:t>
      </w:r>
      <w:r>
        <w:rPr>
          <w:rtl w:val="true"/>
        </w:rPr>
        <w:t>(</w:t>
      </w:r>
      <w:r>
        <w:rPr/>
        <w:t>behavioral signals</w:t>
      </w:r>
      <w:r>
        <w:rPr>
          <w:rtl w:val="true"/>
        </w:rPr>
        <w:t xml:space="preserve">) </w:t>
      </w:r>
      <w:r>
        <w:rPr>
          <w:rtl w:val="true"/>
        </w:rPr>
        <w:t>التي استخدمتها الأدبيات فعلاً، وتمييزها عن الإشارات التي ذُكرت دون أن تدعمها البيانات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تقويم قوة الأدلة التجريبية المنشورة من حيث البيانات وبروتوكول التقييم وخطوط الأساس </w:t>
      </w:r>
      <w:r>
        <w:rPr>
          <w:rtl w:val="true"/>
        </w:rPr>
        <w:t>(</w:t>
      </w:r>
      <w:r>
        <w:rPr/>
        <w:t>baselines</w:t>
      </w:r>
      <w:r>
        <w:rPr>
          <w:rtl w:val="true"/>
        </w:rPr>
        <w:t xml:space="preserve">) </w:t>
      </w:r>
      <w:r>
        <w:rPr>
          <w:rtl w:val="true"/>
        </w:rPr>
        <w:t>واتساق 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استنتاج فجوة بحثية مسنودة بمصفوفة المقارنة، واستخلاص استنتاجات أولية مرتبطة بأسئلة البحث </w:t>
      </w:r>
      <w:r>
        <w:rPr/>
        <w:t>RQ1–RQ4</w:t>
      </w:r>
      <w:r>
        <w:rPr>
          <w:rtl w:val="true"/>
        </w:rPr>
        <w:t>، تُبنى عليها الفرضيات في المرحلة التالية</w:t>
      </w:r>
      <w:r>
        <w:rPr>
          <w:rtl w:val="true"/>
        </w:rPr>
        <w:t>.</w:t>
      </w:r>
      <w:bookmarkEnd w:id="8"/>
    </w:p>
    <w:p>
      <w:pPr>
        <w:pStyle w:val="Heading2"/>
        <w:bidi w:val="1"/>
        <w:rPr/>
      </w:pPr>
      <w:bookmarkStart w:id="9" w:name="__RefHeading___Toc14938_277087200"/>
      <w:bookmarkEnd w:id="9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مصادر المراجع</w:t>
      </w:r>
    </w:p>
    <w:p>
      <w:pPr>
        <w:pStyle w:val="Normal"/>
        <w:bidi w:val="1"/>
        <w:rPr/>
      </w:pPr>
      <w:r>
        <w:rPr>
          <w:rtl w:val="true"/>
        </w:rPr>
        <w:t xml:space="preserve">تضم مجموعة المراجع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ورقة محفوظة نصوصها الكاملة في مستودع الرسالة </w:t>
      </w:r>
      <w:r>
        <w:rPr>
          <w:rtl w:val="true"/>
        </w:rPr>
        <w:t>(</w:t>
      </w:r>
      <w:r>
        <w:rPr>
          <w:rtl w:val="true"/>
        </w:rPr>
        <w:t xml:space="preserve">المجلد </w:t>
      </w:r>
      <w:r>
        <w:rPr>
          <w:rStyle w:val="VerbatimChar"/>
        </w:rPr>
        <w:t>references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، والنصوص المستخرجة في </w:t>
      </w:r>
      <w:r>
        <w:rPr>
          <w:rStyle w:val="VerbatimChar"/>
        </w:rPr>
        <w:t>docs/working/reftext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). </w:t>
      </w:r>
      <w:r>
        <w:rPr>
          <w:rtl w:val="true"/>
        </w:rPr>
        <w:t>وهي من مصدرين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مراجع من خطة البحث الأصلية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]–[</w:t>
      </w:r>
      <w:r>
        <w:rPr/>
        <w:t>9</w:t>
      </w:r>
      <w:r>
        <w:rPr>
          <w:rtl w:val="true"/>
        </w:rPr>
        <w:t>])</w:t>
      </w:r>
      <w:r>
        <w:rPr>
          <w:rtl w:val="true"/>
        </w:rPr>
        <w:t xml:space="preserve">، تمتد من </w:t>
      </w:r>
      <w:r>
        <w:rPr/>
        <w:t>2004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2023</w:t>
      </w:r>
      <w:r>
        <w:rPr>
          <w:rtl w:val="true"/>
        </w:rPr>
        <w:t>، وخمسة منها من خارج مجال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الموسيقى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والتجارة الإلكترونية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والأفلام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وعشرون مرجعاً مضافاً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10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])</w:t>
      </w:r>
      <w:r>
        <w:rPr>
          <w:rtl w:val="true"/>
        </w:rPr>
        <w:t xml:space="preserve">، رُمّزت في المستودع بالرمز </w:t>
      </w:r>
      <w:r>
        <w:rPr/>
        <w:t>S-xxxx</w:t>
      </w:r>
      <w:r>
        <w:rPr>
          <w:rtl w:val="true"/>
        </w:rPr>
        <w:t xml:space="preserve">، ومعظمها بين </w:t>
      </w:r>
      <w:r>
        <w:rPr/>
        <w:t>2016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>ويتناول التوصية في التعليم الإلكتروني مباشرة</w:t>
      </w:r>
      <w:r>
        <w:rPr>
          <w:rtl w:val="true"/>
        </w:rPr>
        <w:t xml:space="preserve">. </w:t>
      </w:r>
      <w:r>
        <w:rPr>
          <w:rtl w:val="true"/>
        </w:rPr>
        <w:t>يوحي هذا الترميز بأنها انتُقيت من حصيلة بحث أوسع، غير أن المستودع لا يتضمن وثيقة توثّق سلاسل البحث وقواعد البيانات المستعملة</w:t>
      </w:r>
      <w:r>
        <w:rPr>
          <w:rtl w:val="true"/>
        </w:rPr>
        <w:t xml:space="preserve">. </w:t>
      </w:r>
      <w:r>
        <w:rPr>
          <w:rtl w:val="true"/>
        </w:rPr>
        <w:t>لذلك تُستنتج معايير الإدراج أدناه من طبيعة المجموعة نفسها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وتُضاف إليها </w:t>
      </w:r>
      <w:r>
        <w:rPr>
          <w:b/>
          <w:b/>
          <w:bCs/>
          <w:rtl w:val="true"/>
        </w:rPr>
        <w:t>ثلاثة عشر مرجعاً من خارج المستودع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]):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47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تأسيسية في التغذية الضمنية والتوصية بالجلسة وتقييمها، ومعها ورقة توصيف مجموعة </w:t>
      </w:r>
      <w:r>
        <w:rPr/>
        <w:t>OULAD [46]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48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مرجع لتصنيف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 xml:space="preserve">أعمال في التنبؤ بالانسحاب والأداء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أُدرجت لتقييد ادعاء الجدّة وتغطية ما غاب عن المجموعة، لا لتوسيع المصفوفة، فلا تدخل جداول المقارنة</w:t>
      </w:r>
      <w:r>
        <w:rPr>
          <w:rtl w:val="true"/>
        </w:rPr>
        <w:t xml:space="preserve">. </w:t>
      </w:r>
      <w:r>
        <w:rPr>
          <w:rtl w:val="true"/>
        </w:rPr>
        <w:t>وقد تحقّق الباحث من بياناتها البيبليوغرافية من فهارس الناشرين والمستودعات</w:t>
      </w:r>
      <w:r>
        <w:rPr>
          <w:rtl w:val="true"/>
        </w:rPr>
        <w:t xml:space="preserve">. </w:t>
      </w:r>
      <w:r>
        <w:rPr>
          <w:rtl w:val="true"/>
        </w:rPr>
        <w:t>ما لم يُؤكَّد، كبعض الصفحات والـ</w:t>
      </w:r>
      <w:r>
        <w:rPr/>
        <w:t>DOI</w:t>
      </w:r>
      <w:r>
        <w:rPr>
          <w:rtl w:val="true"/>
        </w:rPr>
        <w:t>، حُذف ولم يُخمَّن، وسجل التحقق في الملحق ب</w:t>
      </w:r>
      <w:r>
        <w:rPr>
          <w:rtl w:val="true"/>
        </w:rPr>
        <w:t xml:space="preserve">. </w:t>
      </w:r>
      <w:r>
        <w:rPr>
          <w:rtl w:val="true"/>
        </w:rPr>
        <w:t>ولا يُسند إليها في المتن إلا ما يظهر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توزيع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حسب الفترة الزمنية والمجال وحكم المصداقية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توزيع المراجع الـ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حسب السنة والمجال والمصداقية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بطاقات المحللين وتقرير المصداقية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53"/>
        <w:gridCol w:w="1687"/>
        <w:gridCol w:w="799"/>
        <w:gridCol w:w="5148"/>
      </w:tblGrid>
      <w:tr>
        <w:trPr>
          <w:tblHeader w:val="true"/>
        </w:trPr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البُعد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آخر خمس سنوات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60.5%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2015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2004</w:t>
            </w:r>
            <w:r>
              <w:rPr>
                <w:kern w:val="0"/>
                <w:rtl w:val="true"/>
                <w:lang w:val="en-US" w:eastAsia="en-US" w:bidi="ar-SA"/>
              </w:rPr>
              <w:t>، مرجع كلاسيكي من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تعليم إلكتروني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>، تعلّم لغات، مستودعات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المراجع عدا السبعة التالية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خارج التعليم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موسيقى،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تجارة،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أفلام،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موثوق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]. </w:t>
            </w:r>
            <w:r>
              <w:rPr>
                <w:kern w:val="0"/>
                <w:rtl w:val="true"/>
                <w:lang w:val="en-US" w:eastAsia="en-US" w:bidi="ar-SA"/>
              </w:rPr>
              <w:t>ويُلاحَظ أن الحكم يخص الوعاء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موثوقان وعاءً مع تحفظ جوهري على محتواهما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⚠️ </w:t>
            </w:r>
            <w:r>
              <w:rPr>
                <w:kern w:val="0"/>
                <w:rtl w:val="true"/>
                <w:lang w:val="en-US" w:eastAsia="en-US" w:bidi="ar-SA"/>
              </w:rPr>
              <w:t>مقبول بحذر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❌ </w:t>
            </w:r>
            <w:r>
              <w:rPr>
                <w:kern w:val="0"/>
                <w:rtl w:val="true"/>
                <w:lang w:val="en-US" w:eastAsia="en-US" w:bidi="ar-SA"/>
              </w:rPr>
              <w:t>مشكوك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❓ </w:t>
            </w:r>
            <w:r>
              <w:rPr>
                <w:kern w:val="0"/>
                <w:rtl w:val="true"/>
                <w:lang w:val="en-US" w:eastAsia="en-US" w:bidi="ar-SA"/>
              </w:rPr>
              <w:t>لم يُتحقَّق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10" w:name="مصادر-المراجع"/>
            <w:bookmarkEnd w:id="10"/>
          </w:p>
        </w:tc>
      </w:tr>
    </w:tbl>
    <w:p>
      <w:pPr>
        <w:pStyle w:val="Heading2"/>
        <w:bidi w:val="1"/>
        <w:rPr/>
      </w:pPr>
      <w:bookmarkStart w:id="11" w:name="__RefHeading___Toc14940_277087200"/>
      <w:bookmarkEnd w:id="11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معايير الإدراج والاستبعاد</w:t>
      </w:r>
    </w:p>
    <w:p>
      <w:pPr>
        <w:pStyle w:val="Normal"/>
        <w:bidi w:val="1"/>
        <w:rPr/>
      </w:pPr>
      <w:r>
        <w:rPr>
          <w:rtl w:val="true"/>
        </w:rPr>
        <w:t>استُنتجت المعايير الآتية من خصائص المجموعة، وهي تفسّر وجود مراجع من خارج المجال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معايير الإدراج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rtl w:val="true"/>
        </w:rPr>
        <w:t>أن يتناول المرجع نظام توصية، أو تحليلاً لسلوك المستخدم يُستعمل في التخصيص أو التوصية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rtl w:val="true"/>
        </w:rPr>
        <w:t>أن يكون في مجال التعليم الإلكتروني، أو في مجال آخر بشرط أن تكون طريقته قابلة للنقل إلى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التوصية بالجلسة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والتجميع التكيفي للخوارزميات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والتفاعل المتكرر مع المُوصي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والملفات السلوكية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وتطوّر الاهتمامات عبر الزمن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والتوصية متعددة الوسائط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rtl w:val="true"/>
        </w:rPr>
        <w:t xml:space="preserve">أن يكون نصّه الكامل متاحاً في المستودع، باللغة الإنكليزية، ومنشوراً في وعاء علمي </w:t>
      </w:r>
      <w:r>
        <w:rPr>
          <w:rtl w:val="true"/>
        </w:rPr>
        <w:t>(</w:t>
      </w:r>
      <w:r>
        <w:rPr>
          <w:rtl w:val="true"/>
        </w:rPr>
        <w:t>مجلة أو مؤتمر</w:t>
      </w:r>
      <w:r>
        <w:rPr>
          <w:rtl w:val="true"/>
        </w:rPr>
        <w:t>).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rtl w:val="true"/>
        </w:rPr>
        <w:t>أن يصف تجربة أو تصميماً قابلاً للتحليل، أي فيه بيانات أو خوارزمية أو مقاييس، حتى لو كانت ضعيفة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معايير الاستبعاد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المستنتجة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الأوراق التي لا يتوفر نصها الكامل، والمقالات غير العلمية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المجموعة </w:t>
      </w:r>
      <w:r>
        <w:rPr>
          <w:b/>
          <w:b/>
          <w:bCs/>
          <w:rtl w:val="true"/>
        </w:rPr>
        <w:t xml:space="preserve">لا تتضمن أي مراجعة منهجية </w:t>
      </w:r>
      <w:r>
        <w:rPr>
          <w:b/>
          <w:bCs/>
          <w:rtl w:val="true"/>
        </w:rPr>
        <w:t>(</w:t>
      </w:r>
      <w:r>
        <w:rPr>
          <w:b/>
          <w:bCs/>
        </w:rPr>
        <w:t>systematic review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أو مسح </w:t>
      </w:r>
      <w:r>
        <w:rPr>
          <w:b/>
          <w:bCs/>
          <w:rtl w:val="true"/>
        </w:rPr>
        <w:t>(</w:t>
      </w:r>
      <w:r>
        <w:rPr>
          <w:b/>
          <w:bCs/>
        </w:rPr>
        <w:t>survey</w:t>
      </w:r>
      <w:r>
        <w:rPr>
          <w:b/>
          <w:bCs/>
          <w:rtl w:val="true"/>
        </w:rPr>
        <w:t>)</w:t>
      </w:r>
      <w:r>
        <w:rPr>
          <w:rtl w:val="true"/>
        </w:rPr>
        <w:t xml:space="preserve">، وهذا قيد على التغطية يُذكر في القسم </w:t>
      </w:r>
      <w:r>
        <w:rPr/>
        <w:t>1.5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2" w:name="__RefHeading___Toc14942_277087200"/>
      <w:bookmarkStart w:id="13" w:name="منهجية-التحليل"/>
      <w:bookmarkEnd w:id="12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منهجية التحليل</w:t>
      </w:r>
    </w:p>
    <w:p>
      <w:pPr>
        <w:pStyle w:val="Normal"/>
        <w:bidi w:val="1"/>
        <w:rPr/>
      </w:pPr>
      <w:r>
        <w:rPr>
          <w:rtl w:val="true"/>
        </w:rPr>
        <w:t>جرى التحليل في أربع خطوات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الاستخلاص بقالب موحّد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وُزّعت المراجع على ثلاثة محللين </w:t>
      </w:r>
      <w:r>
        <w:rPr>
          <w:rtl w:val="true"/>
        </w:rPr>
        <w:t>(</w:t>
      </w:r>
      <w:r>
        <w:rPr/>
        <w:t>A: [1]–[13]</w:t>
      </w:r>
      <w:r>
        <w:rPr/>
        <w:t xml:space="preserve">، </w:t>
      </w:r>
      <w:r>
        <w:rPr/>
        <w:t>B: [14]–[26]</w:t>
      </w:r>
      <w:r>
        <w:rPr/>
        <w:t xml:space="preserve">، </w:t>
      </w:r>
      <w:r>
        <w:rPr/>
        <w:t>C: [27]–[38]</w:t>
      </w:r>
      <w:r>
        <w:rPr>
          <w:rtl w:val="true"/>
        </w:rPr>
        <w:t xml:space="preserve">). </w:t>
      </w:r>
      <w:r>
        <w:rPr>
          <w:rtl w:val="true"/>
        </w:rPr>
        <w:t>قرأ كل محلل النص الكامل، وملأ لكل مرجع بطاقة تضم</w:t>
      </w:r>
      <w:r>
        <w:rPr>
          <w:rtl w:val="true"/>
        </w:rPr>
        <w:t xml:space="preserve">: </w:t>
      </w:r>
      <w:r>
        <w:rPr>
          <w:rtl w:val="true"/>
        </w:rPr>
        <w:t>البيانات البيبليوغرافية، والمشكلة، والبيانات، والطريقة، والمقاييس، وأفضل نتيجة، وخطوط الأساس، والقيود، والصلة، وإشارات السلوك</w:t>
      </w:r>
      <w:r>
        <w:rPr>
          <w:rtl w:val="true"/>
        </w:rPr>
        <w:t xml:space="preserve">. </w:t>
      </w:r>
      <w:r>
        <w:rPr>
          <w:rtl w:val="true"/>
        </w:rPr>
        <w:t>وفصلت البطاقات بين ما قاله المؤلفون وما استنتجه المحلل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مصفوفة 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جُمعت البطاقات في مصفوفة واحدة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صفاً </w:t>
      </w:r>
      <w:r>
        <w:rPr>
          <w:rtl w:val="true"/>
        </w:rPr>
        <w:t>(</w:t>
      </w:r>
      <w:r>
        <w:rPr>
          <w:rtl w:val="true"/>
        </w:rPr>
        <w:t>الملحق أ</w:t>
      </w:r>
      <w:r>
        <w:rPr>
          <w:rtl w:val="true"/>
        </w:rPr>
        <w:t>)</w:t>
      </w:r>
      <w:r>
        <w:rPr>
          <w:rtl w:val="true"/>
        </w:rPr>
        <w:t xml:space="preserve">، ومنها اشتُقّت جداول البيانات والإشارات والمقاييس في القسم </w:t>
      </w:r>
      <w:r>
        <w:rPr/>
        <w:t>4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التحقق من المصداقية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فُحص كل مرجع من نصه أولاً</w:t>
      </w:r>
      <w:r>
        <w:rPr>
          <w:rtl w:val="true"/>
        </w:rPr>
        <w:t xml:space="preserve">: </w:t>
      </w:r>
      <w:r>
        <w:rPr>
          <w:rtl w:val="true"/>
        </w:rPr>
        <w:t xml:space="preserve">وجود </w:t>
      </w:r>
      <w:r>
        <w:rPr/>
        <w:t>DOI</w:t>
      </w:r>
      <w:r>
        <w:rPr>
          <w:rtl w:val="true"/>
        </w:rPr>
        <w:t>، و</w:t>
      </w:r>
      <w:r>
        <w:rPr/>
        <w:t>ISSN</w:t>
      </w:r>
      <w:r>
        <w:rPr>
          <w:rtl w:val="true"/>
        </w:rPr>
        <w:t>، وتواريخ الاستلام والقبول بوصفها علامة على التحكيم، والناشر</w:t>
      </w:r>
      <w:r>
        <w:rPr>
          <w:rtl w:val="true"/>
        </w:rPr>
        <w:t xml:space="preserve">. </w:t>
      </w:r>
      <w:r>
        <w:rPr>
          <w:rtl w:val="true"/>
        </w:rPr>
        <w:t xml:space="preserve">ثم بُحث عن الوعاء عبر بحث الويب </w:t>
      </w:r>
      <w:r>
        <w:rPr>
          <w:rtl w:val="true"/>
        </w:rPr>
        <w:t>(</w:t>
      </w:r>
      <w:r>
        <w:rPr/>
        <w:t>WebSearch</w:t>
      </w:r>
      <w:r>
        <w:rPr>
          <w:rtl w:val="true"/>
        </w:rPr>
        <w:t xml:space="preserve">) </w:t>
      </w:r>
      <w:r>
        <w:rPr>
          <w:rtl w:val="true"/>
        </w:rPr>
        <w:t>للاستدلال على فهرسته وربعه واحتمال كونه وعاءً مفترساً</w:t>
      </w:r>
      <w:r>
        <w:rPr>
          <w:rtl w:val="true"/>
        </w:rPr>
        <w:t xml:space="preserve">. </w:t>
      </w:r>
      <w:r>
        <w:rPr>
          <w:rtl w:val="true"/>
        </w:rPr>
        <w:t xml:space="preserve">وصُنّفت المراجع إلى ✅ أو ⚠️ أو ❌ أو ❓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التوليف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أُسند كل مرجع إلى محور أساسي واحد وفق إسهامه الرئيسي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3.1</w:t>
      </w:r>
      <w:r>
        <w:rPr>
          <w:rtl w:val="true"/>
        </w:rPr>
        <w:t>)</w:t>
      </w:r>
      <w:r>
        <w:rPr>
          <w:rtl w:val="true"/>
        </w:rPr>
        <w:t xml:space="preserve">، وقورنت المراجع داخل كل محور، ثم رُصدت مواضع الاتفاق والاختلاف، واستُنتجت الفجوة من مصفوفة معايير صريحة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7.1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سياسة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وفق توصية تقرير المصداقية، لا تُبنى الفجوة ولا الاستنتاجات الأولية على المراجع ❓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 </w:t>
      </w:r>
      <w:r>
        <w:rPr>
          <w:rtl w:val="true"/>
        </w:rPr>
        <w:t xml:space="preserve">أو ❌ </w:t>
      </w:r>
      <w:r>
        <w:rPr>
          <w:rtl w:val="true"/>
        </w:rPr>
        <w:t>([</w:t>
      </w:r>
      <w:r>
        <w:rPr/>
        <w:t>12</w:t>
      </w:r>
      <w:r>
        <w:rPr>
          <w:rtl w:val="true"/>
        </w:rPr>
        <w:t xml:space="preserve">]). </w:t>
      </w:r>
      <w:r>
        <w:rPr>
          <w:rtl w:val="true"/>
        </w:rPr>
        <w:t xml:space="preserve">هذه المراجع تُذكر </w:t>
      </w:r>
      <w:r>
        <w:rPr>
          <w:b/>
          <w:b/>
          <w:bCs/>
          <w:rtl w:val="true"/>
        </w:rPr>
        <w:t>مؤشراتٍ ثانوية</w:t>
      </w:r>
      <w:r>
        <w:rPr>
          <w:rtl w:val="true"/>
        </w:rPr>
        <w:t xml:space="preserve"> مع رمز حكمها، ويوضع رمز المصداقية بجانب كل مرجع داعم في القسم </w:t>
      </w:r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 xml:space="preserve">وتُعامَل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 xml:space="preserve"> في كل الجداول، لتطابقهما شبه التام في البيانات والإعدادات والنتائج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3.6</w:t>
      </w:r>
      <w:r>
        <w:rPr>
          <w:rtl w:val="true"/>
        </w:rPr>
        <w:t>).</w:t>
      </w:r>
      <w:bookmarkEnd w:id="13"/>
    </w:p>
    <w:p>
      <w:pPr>
        <w:pStyle w:val="Heading2"/>
        <w:bidi w:val="1"/>
        <w:rPr/>
      </w:pPr>
      <w:bookmarkStart w:id="14" w:name="__RefHeading___Toc14944_277087200"/>
      <w:bookmarkStart w:id="15" w:name="قيود-منهجية-الدراسة-المرجعية"/>
      <w:bookmarkEnd w:id="14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قيود منهجية الدراسة المرجعية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حدود التحقق من الفهرسة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تمّ التحقق من نصوص الأوراق ومن نتائج بحث الويب فقط، </w:t>
      </w:r>
      <w:r>
        <w:rPr>
          <w:b/>
          <w:b/>
          <w:bCs/>
          <w:rtl w:val="true"/>
        </w:rPr>
        <w:t xml:space="preserve">دون الوصول المباشر إلى قواعد </w:t>
      </w:r>
      <w:r>
        <w:rPr>
          <w:b/>
          <w:bCs/>
        </w:rPr>
        <w:t>Scopus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Scimago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Crossref</w:t>
      </w:r>
      <w:r>
        <w:rPr>
          <w:rtl w:val="true"/>
        </w:rPr>
        <w:t xml:space="preserve"> </w:t>
      </w:r>
      <w:r>
        <w:rPr>
          <w:rtl w:val="true"/>
        </w:rPr>
        <w:t>لأن الوصول إليها محجوب في بيئة العمل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معظم الأرباع </w:t>
      </w:r>
      <w:r>
        <w:rPr>
          <w:rtl w:val="true"/>
        </w:rPr>
        <w:t>(</w:t>
      </w:r>
      <w:r>
        <w:rPr/>
        <w:t>quartiles</w:t>
      </w:r>
      <w:r>
        <w:rPr>
          <w:rtl w:val="true"/>
        </w:rPr>
        <w:t xml:space="preserve">) </w:t>
      </w:r>
      <w:r>
        <w:rPr>
          <w:rtl w:val="true"/>
        </w:rPr>
        <w:t>وحالات الفهرسة المذكورة مصدرها مُجمِّعات ثانوية، وتحتاج تحققاً نهائياً قبل اعتماد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حدود الاستخراج النصي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بعض النتائج موجودة في أشكال أو جداول مصوّرة لم يلتقطها الاستخراج النصي، كما 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]. </w:t>
      </w:r>
      <w:r>
        <w:rPr>
          <w:rtl w:val="true"/>
        </w:rPr>
        <w:t xml:space="preserve">في هذه الحالات يُذكر صراحةً أن الرقم </w:t>
      </w:r>
      <w:r>
        <w:rPr>
          <w:rtl w:val="true"/>
        </w:rPr>
        <w:t>«</w:t>
      </w:r>
      <w:r>
        <w:rPr>
          <w:rtl w:val="true"/>
        </w:rPr>
        <w:t>غير مذكور في النص</w:t>
      </w:r>
      <w:r>
        <w:rPr>
          <w:rtl w:val="true"/>
        </w:rPr>
        <w:t>».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عدم توثيق سلسلة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يتوفر توثيق لانتقاء المراجع المضافة، فلا تدّعي هذه الدراسة الشمول المنهجي</w:t>
      </w:r>
      <w:r>
        <w:rPr>
          <w:rtl w:val="true"/>
        </w:rPr>
        <w:t xml:space="preserve">. </w:t>
      </w:r>
      <w:r>
        <w:rPr>
          <w:rtl w:val="true"/>
        </w:rPr>
        <w:t>ومن الغياب الملحوظ</w:t>
      </w:r>
      <w:r>
        <w:rPr>
          <w:rtl w:val="true"/>
        </w:rPr>
        <w:t xml:space="preserve">: </w:t>
      </w:r>
      <w:r>
        <w:rPr>
          <w:rtl w:val="true"/>
        </w:rPr>
        <w:t xml:space="preserve">الأعمال المعيارية في التغذية الضمنية والتوصية بالجلسة وتقييمها </w:t>
      </w:r>
      <w:r>
        <w:rPr>
          <w:rtl w:val="true"/>
        </w:rPr>
        <w:t>(</w:t>
      </w:r>
      <w:r>
        <w:rPr>
          <w:rtl w:val="true"/>
        </w:rPr>
        <w:t xml:space="preserve">عُوّض جزئياً بالمراجع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>، و</w:t>
      </w:r>
      <w:r>
        <w:rPr>
          <w:b/>
          <w:b/>
          <w:bCs/>
          <w:rtl w:val="true"/>
        </w:rPr>
        <w:t xml:space="preserve">أدبيات تحليلات التعلم على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التنبؤ بالانسحاب والخطر، مع أن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هي مجموعة البيانات الأساسية للرسالة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وقد عُوّض هذا الغياب جزئياً بعيّنة محقَّقة في القسم </w:t>
      </w:r>
      <w:r>
        <w:rPr/>
        <w:t>3.8</w:t>
      </w:r>
      <w:r>
        <w:rPr>
          <w:rtl w:val="true"/>
        </w:rPr>
        <w:t xml:space="preserve">، تُوسَّع قبل الاجتماع </w:t>
      </w:r>
      <w:r>
        <w:rPr/>
        <w:t>02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</w:t>
      </w:r>
      <w:r>
        <w:rPr>
          <w:b/>
          <w:b/>
          <w:bCs/>
          <w:rtl w:val="true"/>
        </w:rPr>
        <w:t>ادعاءات الجدّة في هذا الفصل مقيّدة بالمجموعة المحللة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عدم إعادة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هذا الفصل توليف لما وثّقه المحللون، ولم تُجرَ فيه قراءة جديدة للأوراق ولا بحث إضافي</w:t>
      </w:r>
      <w:r>
        <w:rPr>
          <w:rtl w:val="true"/>
        </w:rPr>
        <w:t xml:space="preserve">. </w:t>
      </w:r>
      <w:r>
        <w:rPr>
          <w:rtl w:val="true"/>
        </w:rPr>
        <w:t xml:space="preserve">ويُستثنى من ذلك التحقق البيبليوغرافي من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عبر بحث الويب، وما نُقل عن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من صفحات فهارسها في القسم </w:t>
      </w:r>
      <w:r>
        <w:rPr/>
        <w:t>3.8</w:t>
      </w:r>
      <w:r>
        <w:rPr>
          <w:rtl w:val="true"/>
        </w:rPr>
        <w:t>.</w:t>
      </w:r>
      <w:bookmarkEnd w:id="15"/>
    </w:p>
    <w:p>
      <w:pPr>
        <w:pStyle w:val="Heading1"/>
        <w:bidi w:val="1"/>
        <w:rPr/>
      </w:pPr>
      <w:bookmarkStart w:id="16" w:name="__RefHeading___Toc14946_277087200"/>
      <w:bookmarkStart w:id="17" w:name="الخلفية-النظرية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الخلفية النظرية</w:t>
      </w:r>
    </w:p>
    <w:p>
      <w:pPr>
        <w:pStyle w:val="Normal"/>
        <w:bidi w:val="1"/>
        <w:rPr/>
      </w:pPr>
      <w:r>
        <w:rPr>
          <w:rtl w:val="true"/>
        </w:rPr>
        <w:t>يقدّم هذا القسم المفاهيم التي يحتاجها تحليل الأدبيات، ويسند كل مفهوم إلى المراجع التي استعملته ضمن المجموعة</w:t>
      </w:r>
      <w:r>
        <w:rPr>
          <w:rtl w:val="true"/>
        </w:rPr>
        <w:t xml:space="preserve">. </w:t>
      </w:r>
      <w:r>
        <w:rPr>
          <w:rtl w:val="true"/>
        </w:rPr>
        <w:t>أما التعريفات الرياضية الكاملة للمقاييس فمكانها فصل المنهجية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8" w:name="__RefHeading___Toc14948_277087200"/>
      <w:bookmarkStart w:id="19" w:name="أنظمة-التوصية-وأصنافها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أنظمة التوصية وأصنافها</w:t>
      </w:r>
    </w:p>
    <w:p>
      <w:pPr>
        <w:pStyle w:val="Normal"/>
        <w:bidi w:val="1"/>
        <w:rPr/>
      </w:pPr>
      <w:r>
        <w:rPr>
          <w:rtl w:val="true"/>
        </w:rPr>
        <w:t xml:space="preserve">نظام التوصية </w:t>
      </w:r>
      <w:r>
        <w:rPr>
          <w:rtl w:val="true"/>
        </w:rPr>
        <w:t>(</w:t>
      </w:r>
      <w:r>
        <w:rPr/>
        <w:t>Recommender System</w:t>
      </w:r>
      <w:r>
        <w:rPr>
          <w:rtl w:val="true"/>
        </w:rPr>
        <w:t xml:space="preserve">) </w:t>
      </w:r>
      <w:r>
        <w:rPr>
          <w:rtl w:val="true"/>
        </w:rPr>
        <w:t xml:space="preserve">برنامج يقدّر مدى ملاءمة عناصر </w:t>
      </w:r>
      <w:r>
        <w:rPr>
          <w:rtl w:val="true"/>
        </w:rPr>
        <w:t>(</w:t>
      </w:r>
      <w:r>
        <w:rPr>
          <w:rtl w:val="true"/>
        </w:rPr>
        <w:t>مقررات، موارد، كائنات تعلّم</w:t>
      </w:r>
      <w:r>
        <w:rPr>
          <w:rtl w:val="true"/>
        </w:rPr>
        <w:t xml:space="preserve">) </w:t>
      </w:r>
      <w:r>
        <w:rPr>
          <w:rtl w:val="true"/>
        </w:rPr>
        <w:t>لمستخدم ما، ويعرض عليه قائمة مرتبة منها</w:t>
      </w:r>
      <w:r>
        <w:rPr>
          <w:rtl w:val="true"/>
        </w:rPr>
        <w:t xml:space="preserve">. </w:t>
      </w:r>
      <w:r>
        <w:rPr>
          <w:rtl w:val="true"/>
        </w:rPr>
        <w:t>وتتوزع أساليب المجموعة على العائلات الآتية</w:t>
      </w:r>
      <w:r>
        <w:rPr>
          <w:rtl w:val="true"/>
        </w:rPr>
        <w:t>:</w:t>
      </w:r>
    </w:p>
    <w:p>
      <w:pPr>
        <w:pStyle w:val="Normal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التصفية التعاونية </w:t>
      </w:r>
      <w:r>
        <w:rPr>
          <w:b/>
          <w:bCs/>
          <w:rtl w:val="true"/>
        </w:rPr>
        <w:t>(</w:t>
      </w:r>
      <w:r>
        <w:rPr>
          <w:b/>
          <w:bCs/>
        </w:rPr>
        <w:t>CF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تستنتج تفضيل المستخدم من تفضيلات مستخدمين مشابهين، أو من تشابه العناصر في أنماط استهلاكها، دون تحليل محتوى العنصر</w:t>
      </w:r>
      <w:r>
        <w:rPr>
          <w:rtl w:val="true"/>
        </w:rPr>
        <w:t xml:space="preserve">. </w:t>
      </w:r>
      <w:r>
        <w:rPr>
          <w:rtl w:val="true"/>
        </w:rPr>
        <w:t>ولها نوعان</w:t>
      </w:r>
      <w:r>
        <w:rPr>
          <w:rtl w:val="true"/>
        </w:rPr>
        <w:t>:</w:t>
      </w:r>
    </w:p>
    <w:p>
      <w:pPr>
        <w:pStyle w:val="Compact"/>
        <w:numPr>
          <w:ilvl w:val="1"/>
          <w:numId w:val="66"/>
        </w:numPr>
        <w:bidi w:val="1"/>
        <w:rPr/>
      </w:pPr>
      <w:r>
        <w:rPr>
          <w:i/>
          <w:i/>
          <w:iCs/>
          <w:rtl w:val="true"/>
        </w:rPr>
        <w:t xml:space="preserve">القائمة على الذاكرة </w:t>
      </w:r>
      <w:r>
        <w:rPr>
          <w:i/>
          <w:iCs/>
          <w:rtl w:val="true"/>
        </w:rPr>
        <w:t>(</w:t>
      </w:r>
      <w:r>
        <w:rPr>
          <w:i/>
          <w:iCs/>
        </w:rPr>
        <w:t>memory-based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تحسب التشابه مباشرة من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أمثلتها في المجموعة الجيران الأقربون </w:t>
      </w:r>
      <w:r>
        <w:rPr>
          <w:rtl w:val="true"/>
        </w:rPr>
        <w:t>(</w:t>
      </w:r>
      <w:r>
        <w:rPr/>
        <w:t>kNN</w:t>
      </w:r>
      <w:r>
        <w:rPr>
          <w:rtl w:val="true"/>
        </w:rPr>
        <w:t xml:space="preserve">) </w:t>
      </w:r>
      <w:r>
        <w:rPr>
          <w:rtl w:val="true"/>
        </w:rPr>
        <w:t xml:space="preserve">بمقاييس تشابه مثل جيب التمام </w:t>
      </w:r>
      <w:r>
        <w:rPr>
          <w:rtl w:val="true"/>
        </w:rPr>
        <w:t>(</w:t>
      </w:r>
      <w:r>
        <w:rPr/>
        <w:t>cosine</w:t>
      </w:r>
      <w:r>
        <w:rPr>
          <w:rtl w:val="true"/>
        </w:rPr>
        <w:t xml:space="preserve">) </w:t>
      </w:r>
      <w:r>
        <w:rPr>
          <w:rtl w:val="true"/>
        </w:rPr>
        <w:t xml:space="preserve">وبيرسون </w:t>
      </w:r>
      <w:r>
        <w:rPr>
          <w:rtl w:val="true"/>
        </w:rPr>
        <w:t>(</w:t>
      </w:r>
      <w:r>
        <w:rPr/>
        <w:t>Pearson</w:t>
      </w:r>
      <w:r>
        <w:rPr>
          <w:rtl w:val="true"/>
        </w:rPr>
        <w:t xml:space="preserve">) </w:t>
      </w:r>
      <w:r>
        <w:rPr>
          <w:rtl w:val="true"/>
        </w:rPr>
        <w:t xml:space="preserve">وجاكار </w:t>
      </w:r>
      <w:r>
        <w:rPr>
          <w:rtl w:val="true"/>
        </w:rPr>
        <w:t>(</w:t>
      </w:r>
      <w:r>
        <w:rPr/>
        <w:t>Jaccard</w:t>
      </w:r>
      <w:r>
        <w:rPr>
          <w:rtl w:val="true"/>
        </w:rPr>
        <w:t>)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Slope One [4]</w:t>
      </w:r>
      <w:r>
        <w:rPr>
          <w:rtl w:val="true"/>
        </w:rPr>
        <w:t>.</w:t>
      </w:r>
    </w:p>
    <w:p>
      <w:pPr>
        <w:pStyle w:val="Compact"/>
        <w:numPr>
          <w:ilvl w:val="1"/>
          <w:numId w:val="67"/>
        </w:numPr>
        <w:bidi w:val="1"/>
        <w:rPr/>
      </w:pPr>
      <w:r>
        <w:rPr>
          <w:i/>
          <w:i/>
          <w:iCs/>
          <w:rtl w:val="true"/>
        </w:rPr>
        <w:t xml:space="preserve">القائمة على النموذج </w:t>
      </w:r>
      <w:r>
        <w:rPr>
          <w:i/>
          <w:iCs/>
          <w:rtl w:val="true"/>
        </w:rPr>
        <w:t>(</w:t>
      </w:r>
      <w:r>
        <w:rPr>
          <w:i/>
          <w:iCs/>
        </w:rPr>
        <w:t>model-based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تتعلم تمثيلاً كامناً للمستخدمين والعناصر، كتحليل المصفوفات بأسلوب </w:t>
      </w:r>
      <w:r>
        <w:rPr/>
        <w:t>SVD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ALS [10]</w:t>
      </w:r>
      <w:r>
        <w:rPr/>
        <w:t xml:space="preserve">، </w:t>
      </w:r>
      <w:r>
        <w:rPr/>
        <w:t>[13]</w:t>
      </w:r>
      <w:r>
        <w:rPr/>
        <w:t xml:space="preserve">، </w:t>
      </w:r>
      <w:r>
        <w:rPr/>
        <w:t>[18]</w:t>
      </w:r>
      <w:r>
        <w:rPr/>
        <w:t xml:space="preserve">، </w:t>
      </w:r>
      <w:r>
        <w:rPr/>
        <w:t>[26]</w:t>
      </w:r>
      <w:r>
        <w:rPr>
          <w:rtl w:val="true"/>
        </w:rPr>
        <w:t xml:space="preserve">، أو بنماذج عصبونية مثل </w:t>
      </w:r>
      <w:r>
        <w:rPr/>
        <w:t>NCF [21]</w:t>
      </w:r>
      <w:r>
        <w:rPr>
          <w:rtl w:val="true"/>
        </w:rPr>
        <w:t xml:space="preserve">. </w:t>
      </w:r>
      <w:r>
        <w:rPr>
          <w:rtl w:val="true"/>
        </w:rPr>
        <w:t>وللتغذية الضمنية صيغتان كلاسيكيتان خارج المجموعة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الذي يرجّح كل تفاعل بثقة متزايدة مع شدّته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 xml:space="preserve">، وخسارة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الزوجية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ومن عيوب التصفية التعاونية المعروفة في الأدبيات البدء البارد </w:t>
      </w:r>
      <w:r>
        <w:rPr>
          <w:rtl w:val="true"/>
        </w:rPr>
        <w:t>(</w:t>
      </w:r>
      <w:r>
        <w:rPr/>
        <w:t>cold start</w:t>
      </w:r>
      <w:r>
        <w:rPr>
          <w:rtl w:val="true"/>
        </w:rPr>
        <w:t xml:space="preserve">) </w:t>
      </w:r>
      <w:r>
        <w:rPr>
          <w:rtl w:val="true"/>
        </w:rPr>
        <w:t xml:space="preserve">والتناثر </w:t>
      </w:r>
      <w:r>
        <w:rPr>
          <w:rtl w:val="true"/>
        </w:rPr>
        <w:t>(</w:t>
      </w:r>
      <w:r>
        <w:rPr/>
        <w:t>sparsity</w:t>
      </w:r>
      <w:r>
        <w:rPr>
          <w:rtl w:val="true"/>
        </w:rPr>
        <w:t xml:space="preserve">) </w:t>
      </w:r>
      <w:r>
        <w:rPr>
          <w:rtl w:val="true"/>
        </w:rPr>
        <w:t xml:space="preserve">ومشكلة العنصر الجديد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].</w:t>
      </w:r>
    </w:p>
    <w:p>
      <w:pPr>
        <w:pStyle w:val="Normal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التصفية القائمة على المحتوى </w:t>
      </w:r>
      <w:r>
        <w:rPr>
          <w:b/>
          <w:bCs/>
          <w:rtl w:val="true"/>
        </w:rPr>
        <w:t>(</w:t>
      </w:r>
      <w:r>
        <w:rPr>
          <w:b/>
          <w:bCs/>
        </w:rPr>
        <w:t>CBF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تقارن خصائص العناصر بملف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أسلوبها السائد في المجموعة تمثيل </w:t>
      </w:r>
      <w:r>
        <w:rPr/>
        <w:t>TF-IDF</w:t>
      </w:r>
      <w:r>
        <w:rPr>
          <w:rtl w:val="true"/>
        </w:rPr>
        <w:t xml:space="preserve"> </w:t>
      </w:r>
      <w:r>
        <w:rPr>
          <w:rtl w:val="true"/>
        </w:rPr>
        <w:t xml:space="preserve">مع تشابه جيب التمام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]. </w:t>
      </w:r>
      <w:r>
        <w:rPr>
          <w:rtl w:val="true"/>
        </w:rPr>
        <w:t xml:space="preserve">وتستخدم بعض الأوراق مقياس </w:t>
      </w:r>
      <w:r>
        <w:rPr/>
        <w:t>Dice [25]</w:t>
      </w:r>
      <w:r>
        <w:rPr/>
        <w:t xml:space="preserve">، </w:t>
      </w:r>
      <w:r>
        <w:rPr/>
        <w:t>[34]</w:t>
      </w:r>
      <w:r>
        <w:rPr>
          <w:rtl w:val="true"/>
        </w:rPr>
        <w:t xml:space="preserve">، أو تمثيلات عميقة مثل </w:t>
      </w:r>
      <w:r>
        <w:rPr/>
        <w:t>BERT [35]</w:t>
      </w:r>
      <w:r>
        <w:rPr>
          <w:rtl w:val="true"/>
        </w:rPr>
        <w:t xml:space="preserve">. </w:t>
      </w:r>
      <w:r>
        <w:rPr>
          <w:rtl w:val="true"/>
        </w:rPr>
        <w:t xml:space="preserve">ومن عيوبها التخصص المفرط </w:t>
      </w:r>
      <w:r>
        <w:rPr>
          <w:rtl w:val="true"/>
        </w:rPr>
        <w:t>(</w:t>
      </w:r>
      <w:r>
        <w:rPr/>
        <w:t>over-specialization</w:t>
      </w:r>
      <w:r>
        <w:rPr>
          <w:rtl w:val="true"/>
        </w:rPr>
        <w:t>) [</w:t>
      </w:r>
      <w:r>
        <w:rPr/>
        <w:t>25</w:t>
      </w:r>
      <w:r>
        <w:rPr>
          <w:rtl w:val="true"/>
        </w:rPr>
        <w:t>].</w:t>
      </w:r>
    </w:p>
    <w:p>
      <w:pPr>
        <w:pStyle w:val="Normal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الأنظمة الهجينة </w:t>
      </w:r>
      <w:r>
        <w:rPr>
          <w:b/>
          <w:bCs/>
          <w:rtl w:val="true"/>
        </w:rPr>
        <w:t>(</w:t>
      </w:r>
      <w:r>
        <w:rPr>
          <w:b/>
          <w:bCs/>
        </w:rPr>
        <w:t>Hybrid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تجمع أكثر من أسلوب، إما بدمج موزون للدرجات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أو بالتتابع </w:t>
      </w:r>
      <w:r>
        <w:rPr>
          <w:rtl w:val="true"/>
        </w:rPr>
        <w:t>(</w:t>
      </w:r>
      <w:r>
        <w:rPr/>
        <w:t>cascade</w:t>
      </w:r>
      <w:r>
        <w:rPr>
          <w:rtl w:val="true"/>
        </w:rPr>
        <w:t xml:space="preserve">) </w:t>
      </w:r>
      <w:r>
        <w:rPr>
          <w:rtl w:val="true"/>
        </w:rPr>
        <w:t xml:space="preserve">كما في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>، أو بالتبديل حسب حالة المستخدم</w:t>
      </w:r>
      <w:r>
        <w:rPr>
          <w:rtl w:val="true"/>
        </w:rPr>
        <w:t xml:space="preserve">: </w:t>
      </w:r>
      <w:r>
        <w:rPr>
          <w:rtl w:val="true"/>
        </w:rPr>
        <w:t>ملف ثابت للمتعلم الجديد، و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للمتعلم النشط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Normal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التوصية المدركة للسياق </w:t>
      </w:r>
      <w:r>
        <w:rPr>
          <w:b/>
          <w:bCs/>
          <w:rtl w:val="true"/>
        </w:rPr>
        <w:t>(</w:t>
      </w:r>
      <w:r>
        <w:rPr>
          <w:b/>
          <w:bCs/>
        </w:rPr>
        <w:t>Context-Aware Recommendation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تُدخل عوامل السياق في التقدير، مثل الجهاز ووقت الوصول والموقع ومدة الجلسة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أو موضع العرض داخل الفيديو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 xml:space="preserve">، أو يوم الأسبوع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السياق في هذه الرسالة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بالسياق كل معلومة خارج زوج </w:t>
      </w:r>
      <w:r>
        <w:rPr>
          <w:rtl w:val="true"/>
        </w:rPr>
        <w:t>(</w:t>
      </w:r>
      <w:r>
        <w:rPr>
          <w:rtl w:val="true"/>
        </w:rPr>
        <w:t>المتعلم، المورد</w:t>
      </w:r>
      <w:r>
        <w:rPr>
          <w:rtl w:val="true"/>
        </w:rPr>
        <w:t xml:space="preserve">) </w:t>
      </w:r>
      <w:r>
        <w:rPr>
          <w:rtl w:val="true"/>
        </w:rPr>
        <w:t>تؤثر في ملاءمة المورد لحظة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ويُعالَج موضوع السياق في أنظمة التوصية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</w:t>
      </w:r>
      <w:r>
        <w:rPr>
          <w:rtl w:val="true"/>
        </w:rPr>
        <w:t>، ويُميَّز في الأدبيات بين ثلاثة أنماط لإدخاله</w:t>
      </w:r>
      <w:r>
        <w:rPr>
          <w:rtl w:val="true"/>
        </w:rPr>
        <w:t>:</w:t>
      </w:r>
    </w:p>
    <w:p>
      <w:pPr>
        <w:pStyle w:val="Compact"/>
        <w:numPr>
          <w:ilvl w:val="1"/>
          <w:numId w:val="71"/>
        </w:numPr>
        <w:bidi w:val="1"/>
        <w:rPr/>
      </w:pPr>
      <w:r>
        <w:rPr>
          <w:b/>
          <w:b/>
          <w:bCs/>
          <w:rtl w:val="true"/>
        </w:rPr>
        <w:t xml:space="preserve">قبل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pre-filtering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تُرشَّح البيانات أو المرشحات حسب السياق قبل تطبيق نموذج غير سياقي</w:t>
      </w:r>
      <w:r>
        <w:rPr>
          <w:rtl w:val="true"/>
        </w:rPr>
        <w:t>.</w:t>
      </w:r>
    </w:p>
    <w:p>
      <w:pPr>
        <w:pStyle w:val="Compact"/>
        <w:numPr>
          <w:ilvl w:val="1"/>
          <w:numId w:val="72"/>
        </w:numPr>
        <w:bidi w:val="1"/>
        <w:rPr/>
      </w:pPr>
      <w:r>
        <w:rPr>
          <w:b/>
          <w:b/>
          <w:bCs/>
          <w:rtl w:val="true"/>
        </w:rPr>
        <w:t xml:space="preserve">بعد التوصية </w:t>
      </w:r>
      <w:r>
        <w:rPr>
          <w:b/>
          <w:bCs/>
          <w:rtl w:val="true"/>
        </w:rPr>
        <w:t>(</w:t>
      </w:r>
      <w:r>
        <w:rPr>
          <w:b/>
          <w:bCs/>
        </w:rPr>
        <w:t>contextual post-filtering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يُعاد ترتيب نتائج نموذج غير سياقي أو تُرشَّح حسب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73"/>
        </w:numPr>
        <w:bidi w:val="1"/>
        <w:rPr/>
      </w:pPr>
      <w:r>
        <w:rPr>
          <w:b/>
          <w:b/>
          <w:bCs/>
          <w:rtl w:val="true"/>
        </w:rPr>
        <w:t xml:space="preserve">داخل النموذج </w:t>
      </w:r>
      <w:r>
        <w:rPr>
          <w:b/>
          <w:bCs/>
          <w:rtl w:val="true"/>
        </w:rPr>
        <w:t>(</w:t>
      </w:r>
      <w:r>
        <w:rPr>
          <w:b/>
          <w:bCs/>
        </w:rPr>
        <w:t>contextual modeling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يدخل السياق متغيراً في دالة التقدير نفسها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والسياق المتاح في </w:t>
      </w:r>
      <w:r>
        <w:rPr/>
        <w:t>OULAD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زمني وجدولي</w:t>
      </w:r>
      <w:r>
        <w:rPr>
          <w:rtl w:val="true"/>
        </w:rPr>
        <w:t xml:space="preserve">: </w:t>
      </w:r>
      <w:r>
        <w:rPr>
          <w:rtl w:val="true"/>
        </w:rPr>
        <w:t>موضع اليوم في العرض، وقرب موعد التقييم المنشور مسبقاً، والشعبية الحديثة، وعنقود المتعلم</w:t>
      </w:r>
      <w:r>
        <w:rPr>
          <w:rtl w:val="true"/>
        </w:rPr>
        <w:t xml:space="preserve">. </w:t>
      </w:r>
      <w:r>
        <w:rPr>
          <w:rtl w:val="true"/>
        </w:rPr>
        <w:t>أما الجهاز والموقع فغير متاحين، 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 xml:space="preserve">يدّعيهما دون أن تحتملهما بياناته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</w:p>
    <w:p>
      <w:pPr>
        <w:pStyle w:val="Normal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 xml:space="preserve">التوصية بالجلسة والتسلسل </w:t>
      </w:r>
      <w:r>
        <w:rPr>
          <w:b/>
          <w:bCs/>
          <w:rtl w:val="true"/>
        </w:rPr>
        <w:t>(</w:t>
      </w:r>
      <w:r>
        <w:rPr>
          <w:b/>
          <w:bCs/>
        </w:rPr>
        <w:t>Session-based / Sequential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تتنبأ بالعنصر التالي من ترتيب التفاعلات</w:t>
      </w:r>
      <w:r>
        <w:rPr>
          <w:rtl w:val="true"/>
        </w:rPr>
        <w:t xml:space="preserve">. </w:t>
      </w:r>
      <w:r>
        <w:rPr>
          <w:rtl w:val="true"/>
        </w:rPr>
        <w:t>أمثلتها</w:t>
      </w:r>
      <w:r>
        <w:rPr>
          <w:rtl w:val="true"/>
        </w:rPr>
        <w:t>:</w:t>
      </w:r>
    </w:p>
    <w:p>
      <w:pPr>
        <w:pStyle w:val="Compact"/>
        <w:numPr>
          <w:ilvl w:val="1"/>
          <w:numId w:val="75"/>
        </w:numPr>
        <w:bidi w:val="1"/>
        <w:rPr/>
      </w:pPr>
      <w:r>
        <w:rPr>
          <w:rtl w:val="true"/>
        </w:rPr>
        <w:t xml:space="preserve">الشبكات المتكررة </w:t>
      </w:r>
      <w:r>
        <w:rPr>
          <w:rtl w:val="true"/>
        </w:rPr>
        <w:t>(</w:t>
      </w:r>
      <w:r>
        <w:rPr/>
        <w:t>RNN</w:t>
      </w:r>
      <w:r>
        <w:rPr>
          <w:rtl w:val="true"/>
        </w:rPr>
        <w:t xml:space="preserve">) </w:t>
      </w:r>
      <w:r>
        <w:rPr>
          <w:rtl w:val="true"/>
        </w:rPr>
        <w:t xml:space="preserve">بنمط </w:t>
      </w:r>
      <w:r>
        <w:rPr/>
        <w:t>GRU4Rec [1]</w:t>
      </w:r>
      <w:r>
        <w:rPr/>
        <w:t xml:space="preserve">، </w:t>
      </w:r>
      <w:r>
        <w:rPr/>
        <w:t>[41]</w:t>
      </w:r>
      <w:r>
        <w:rPr>
          <w:rtl w:val="true"/>
        </w:rPr>
        <w:t xml:space="preserve">، المبنية على وحدة </w:t>
      </w:r>
      <w:r>
        <w:rPr/>
        <w:t>GRU [45]</w:t>
      </w:r>
      <w:r>
        <w:rPr>
          <w:rtl w:val="true"/>
        </w:rPr>
        <w:t>.</w:t>
      </w:r>
    </w:p>
    <w:p>
      <w:pPr>
        <w:pStyle w:val="Compact"/>
        <w:numPr>
          <w:ilvl w:val="1"/>
          <w:numId w:val="76"/>
        </w:numPr>
        <w:bidi w:val="1"/>
        <w:rPr/>
      </w:pPr>
      <w:r>
        <w:rPr/>
        <w:t>Bi-LSTM [14]</w:t>
      </w:r>
      <w:r>
        <w:rPr/>
        <w:t xml:space="preserve">، </w:t>
      </w:r>
      <w:r>
        <w:rPr/>
        <w:t>[20]</w:t>
      </w:r>
      <w:r>
        <w:rPr>
          <w:rtl w:val="true"/>
        </w:rPr>
        <w:t>.</w:t>
      </w:r>
    </w:p>
    <w:p>
      <w:pPr>
        <w:pStyle w:val="Compact"/>
        <w:numPr>
          <w:ilvl w:val="1"/>
          <w:numId w:val="77"/>
        </w:numPr>
        <w:bidi w:val="1"/>
        <w:rPr/>
      </w:pPr>
      <w:r>
        <w:rPr>
          <w:rtl w:val="true"/>
        </w:rPr>
        <w:t xml:space="preserve">المحوّلات </w:t>
      </w:r>
      <w:r>
        <w:rPr>
          <w:rtl w:val="true"/>
        </w:rPr>
        <w:t>(</w:t>
      </w:r>
      <w:r>
        <w:rPr/>
        <w:t>Transformers</w:t>
      </w:r>
      <w:r>
        <w:rPr>
          <w:rtl w:val="true"/>
        </w:rPr>
        <w:t>)</w:t>
      </w:r>
      <w:r>
        <w:rPr>
          <w:rtl w:val="true"/>
        </w:rPr>
        <w:t xml:space="preserve">، ومنها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BERT4Rec [20]</w:t>
      </w:r>
      <w:r>
        <w:rPr/>
        <w:t xml:space="preserve">، </w:t>
      </w:r>
      <w:r>
        <w:rPr/>
        <w:t>[22]</w:t>
      </w:r>
      <w:r>
        <w:rPr/>
        <w:t xml:space="preserve">، </w:t>
      </w:r>
      <w:r>
        <w:rPr/>
        <w:t>[24]</w:t>
      </w:r>
      <w:r>
        <w:rPr>
          <w:rtl w:val="true"/>
        </w:rPr>
        <w:t>.</w:t>
      </w:r>
    </w:p>
    <w:p>
      <w:pPr>
        <w:pStyle w:val="Compact"/>
        <w:numPr>
          <w:ilvl w:val="1"/>
          <w:numId w:val="78"/>
        </w:numPr>
        <w:bidi w:val="1"/>
        <w:rPr/>
      </w:pPr>
      <w:r>
        <w:rPr>
          <w:rtl w:val="true"/>
        </w:rPr>
        <w:t xml:space="preserve">التلافيف </w:t>
      </w:r>
      <w:r>
        <w:rPr>
          <w:rtl w:val="true"/>
        </w:rPr>
        <w:t>(</w:t>
      </w:r>
      <w:r>
        <w:rPr/>
        <w:t>CNN</w:t>
      </w:r>
      <w:r>
        <w:rPr>
          <w:rtl w:val="true"/>
        </w:rPr>
        <w:t xml:space="preserve">) </w:t>
      </w:r>
      <w:r>
        <w:rPr>
          <w:rtl w:val="true"/>
        </w:rPr>
        <w:t xml:space="preserve">على تسلسل المقررات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وتُعدّ طرائق الجيران المبنية على الجلسة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V-SKNN</w:t>
      </w:r>
      <w:r>
        <w:rPr>
          <w:rtl w:val="true"/>
        </w:rPr>
        <w:t xml:space="preserve">) </w:t>
      </w:r>
      <w:r>
        <w:rPr>
          <w:rtl w:val="true"/>
        </w:rPr>
        <w:t xml:space="preserve">خطوط أساس خفيفة لها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]. </w:t>
      </w:r>
      <w:r>
        <w:rPr>
          <w:rtl w:val="true"/>
        </w:rPr>
        <w:t xml:space="preserve">وتشير أعمال خارج المجموعة إلى أنها تنافس </w:t>
      </w:r>
      <w:r>
        <w:rPr/>
        <w:t>GRU4Rec [42]</w:t>
      </w:r>
      <w:r>
        <w:rPr/>
        <w:t xml:space="preserve">، </w:t>
      </w:r>
      <w:r>
        <w:rPr/>
        <w:t>[43]</w:t>
      </w:r>
      <w:r>
        <w:rPr>
          <w:rtl w:val="true"/>
        </w:rPr>
        <w:t>.</w:t>
      </w:r>
    </w:p>
    <w:p>
      <w:pPr>
        <w:pStyle w:val="Normal"/>
        <w:numPr>
          <w:ilvl w:val="0"/>
          <w:numId w:val="79"/>
        </w:numPr>
        <w:bidi w:val="1"/>
        <w:rPr/>
      </w:pPr>
      <w:r>
        <w:rPr>
          <w:b/>
          <w:b/>
          <w:bCs/>
          <w:rtl w:val="true"/>
        </w:rPr>
        <w:t xml:space="preserve">التوصية بالرسوم البيانية والمعرفية </w:t>
      </w:r>
      <w:r>
        <w:rPr>
          <w:b/>
          <w:bCs/>
          <w:rtl w:val="true"/>
        </w:rPr>
        <w:t>(</w:t>
      </w:r>
      <w:r>
        <w:rPr>
          <w:b/>
          <w:bCs/>
        </w:rPr>
        <w:t>Graph / KG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تمثّل المتعلمين والعناصر والمفاهيم عقداً وعلاقات</w:t>
      </w:r>
      <w:r>
        <w:rPr>
          <w:rtl w:val="true"/>
        </w:rPr>
        <w:t xml:space="preserve">. </w:t>
      </w:r>
      <w:r>
        <w:rPr>
          <w:rtl w:val="true"/>
        </w:rPr>
        <w:t xml:space="preserve">أمثلتها الشبكات التوليدية الشخصية للتعلم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ورسم المحتوى في </w:t>
      </w:r>
      <w:r>
        <w:rPr/>
        <w:t>Neo4j [34]</w:t>
      </w:r>
      <w:r>
        <w:rPr>
          <w:rtl w:val="true"/>
        </w:rPr>
        <w:t xml:space="preserve">، ورسوم المعرفة مع تضمين </w:t>
      </w:r>
      <w:r>
        <w:rPr/>
        <w:t>TransR [14]</w:t>
      </w:r>
      <w:r>
        <w:rPr/>
        <w:t xml:space="preserve">، </w:t>
      </w:r>
      <w:r>
        <w:rPr/>
        <w:t>[37]</w:t>
      </w:r>
      <w:r>
        <w:rPr>
          <w:rtl w:val="true"/>
        </w:rPr>
        <w:t>، و</w:t>
      </w:r>
      <w:r>
        <w:rPr/>
        <w:t>LightGCN</w:t>
      </w:r>
      <w:r>
        <w:rPr>
          <w:rtl w:val="true"/>
        </w:rPr>
        <w:t xml:space="preserve"> </w:t>
      </w:r>
      <w:r>
        <w:rPr>
          <w:rtl w:val="true"/>
        </w:rPr>
        <w:t xml:space="preserve">بوصفه خط أساس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Normal"/>
        <w:numPr>
          <w:ilvl w:val="0"/>
          <w:numId w:val="80"/>
        </w:numPr>
        <w:bidi w:val="1"/>
        <w:rPr/>
      </w:pPr>
      <w:r>
        <w:rPr>
          <w:b/>
          <w:b/>
          <w:bCs/>
          <w:rtl w:val="true"/>
        </w:rPr>
        <w:t xml:space="preserve">التعلم المعزّز وخوارزميات قطّاع الطرق السياقية </w:t>
      </w:r>
      <w:r>
        <w:rPr>
          <w:b/>
          <w:bCs/>
          <w:rtl w:val="true"/>
        </w:rPr>
        <w:t>(</w:t>
      </w:r>
      <w:r>
        <w:rPr>
          <w:b/>
          <w:bCs/>
        </w:rPr>
        <w:t>RL / Contextual Bandits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تنمذج التوصية قراراً متتابعاً، كتنقيح ملف المستخدم بتعلّم معزّز هرمي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أو تعلّم أوزان الدمج بـ </w:t>
      </w:r>
      <w:r>
        <w:rPr/>
        <w:t>Q-learning [20]</w:t>
      </w:r>
      <w:r>
        <w:rPr>
          <w:rtl w:val="true"/>
        </w:rPr>
        <w:t xml:space="preserve">، أو الموازنة بين الاستكشاف والاستغلال مع نقرات متحيزة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numPr>
          <w:ilvl w:val="0"/>
          <w:numId w:val="81"/>
        </w:numPr>
        <w:bidi w:val="1"/>
        <w:rPr/>
      </w:pPr>
      <w:r>
        <w:rPr>
          <w:b/>
          <w:b/>
          <w:bCs/>
          <w:rtl w:val="true"/>
        </w:rPr>
        <w:t xml:space="preserve">التعلّم بالترتيب </w:t>
      </w:r>
      <w:r>
        <w:rPr>
          <w:b/>
          <w:bCs/>
          <w:rtl w:val="true"/>
        </w:rPr>
        <w:t>(</w:t>
      </w:r>
      <w:r>
        <w:rPr>
          <w:b/>
          <w:bCs/>
        </w:rPr>
        <w:t>LTR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يتعلم ترتيب العناصر مباشرة من أزواج تفضيل، كما في </w:t>
      </w:r>
      <w:r>
        <w:rPr/>
        <w:t>XGBoost</w:t>
      </w:r>
      <w:r>
        <w:rPr>
          <w:rtl w:val="true"/>
        </w:rPr>
        <w:t xml:space="preserve"> </w:t>
      </w:r>
      <w:r>
        <w:rPr>
          <w:rtl w:val="true"/>
        </w:rPr>
        <w:t xml:space="preserve">بهدف زوجي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].</w:t>
      </w:r>
      <w:bookmarkEnd w:id="19"/>
    </w:p>
    <w:p>
      <w:pPr>
        <w:pStyle w:val="Heading2"/>
        <w:bidi w:val="1"/>
        <w:rPr/>
      </w:pPr>
      <w:bookmarkStart w:id="20" w:name="__RefHeading___Toc14950_277087200"/>
      <w:bookmarkStart w:id="21" w:name="التغذية-الراجعة-الصريحة-والضمنية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التغذية الراجعة الصريحة والضمنية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التغذية الراجعة الصريحة </w:t>
      </w:r>
      <w:r>
        <w:rPr>
          <w:b/>
          <w:bCs/>
          <w:rtl w:val="true"/>
        </w:rPr>
        <w:t>(</w:t>
      </w:r>
      <w:r>
        <w:rPr>
          <w:b/>
          <w:bCs/>
        </w:rPr>
        <w:t>explicit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يقدّمها المستخدم عن قصد، كالتقييم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5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 xml:space="preserve">التغذية الراجعة الضمنية </w:t>
      </w:r>
      <w:r>
        <w:rPr>
          <w:b/>
          <w:bCs/>
          <w:rtl w:val="true"/>
        </w:rPr>
        <w:t>(</w:t>
      </w:r>
      <w:r>
        <w:rPr>
          <w:b/>
          <w:bCs/>
        </w:rPr>
        <w:t>implicit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فتُستنتج من أفعاله، مثل الاستماع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والتصفح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والتسجيل في مقرر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والنقر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للتغذية الضمنية أهمية خاصة في التعليم الإلكتروني لسببين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المتعلمون نادراً ما يقيّمون الموارد صراحة</w:t>
      </w:r>
      <w:r>
        <w:rPr>
          <w:rtl w:val="true"/>
        </w:rPr>
        <w:t xml:space="preserve">. </w:t>
      </w:r>
      <w:r>
        <w:rPr>
          <w:rtl w:val="true"/>
        </w:rPr>
        <w:t xml:space="preserve">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بذلك، واختار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 xml:space="preserve">نموذجاً ثنائياً </w:t>
      </w:r>
      <w:r>
        <w:rPr>
          <w:rtl w:val="true"/>
        </w:rPr>
        <w:t>(«</w:t>
      </w:r>
      <w:r>
        <w:rPr>
          <w:rtl w:val="true"/>
        </w:rPr>
        <w:t>استشار المقرر أو لم يستشره</w:t>
      </w:r>
      <w:r>
        <w:rPr>
          <w:rtl w:val="true"/>
        </w:rPr>
        <w:t xml:space="preserve">») </w:t>
      </w:r>
      <w:r>
        <w:rPr>
          <w:rtl w:val="true"/>
        </w:rPr>
        <w:t>لأن المنصة لا تتيح التقييم أصلاً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83"/>
        </w:numPr>
        <w:bidi w:val="1"/>
        <w:rPr/>
      </w:pPr>
      <w:r>
        <w:rPr>
          <w:rtl w:val="true"/>
        </w:rPr>
        <w:t>منصات التعلم تسجّل هذه الأفعال تلقائياً</w:t>
      </w:r>
      <w:r>
        <w:rPr>
          <w:rtl w:val="true"/>
        </w:rPr>
        <w:t xml:space="preserve">. </w:t>
      </w:r>
      <w:r>
        <w:rPr>
          <w:rtl w:val="true"/>
        </w:rPr>
        <w:t xml:space="preserve">وقد صاغ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هدفه بأنه تحويل </w:t>
      </w:r>
      <w:r>
        <w:rPr>
          <w:rtl w:val="true"/>
        </w:rPr>
        <w:t>«</w:t>
      </w:r>
      <w:r>
        <w:rPr>
          <w:rtl w:val="true"/>
        </w:rPr>
        <w:t>الآثار الضمنية</w:t>
      </w:r>
      <w:r>
        <w:rPr>
          <w:rtl w:val="true"/>
        </w:rPr>
        <w:t>» (</w:t>
      </w:r>
      <w:r>
        <w:rPr/>
        <w:t>tacit traces</w:t>
      </w:r>
      <w:r>
        <w:rPr>
          <w:rtl w:val="true"/>
        </w:rPr>
        <w:t xml:space="preserve">) </w:t>
      </w:r>
      <w:r>
        <w:rPr>
          <w:rtl w:val="true"/>
        </w:rPr>
        <w:t xml:space="preserve">في سجلات نظام إدارة التعلم إلى تقييمات تقديرية، واستعمل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نتائج خيارات المتعلم </w:t>
      </w:r>
      <w:r>
        <w:rPr>
          <w:rtl w:val="true"/>
        </w:rPr>
        <w:t>(</w:t>
      </w:r>
      <w:r>
        <w:rPr>
          <w:rtl w:val="true"/>
        </w:rPr>
        <w:t>ماذا تعلّم، وكيف، وبأي مسار، ومتى</w:t>
      </w:r>
      <w:r>
        <w:rPr>
          <w:rtl w:val="true"/>
        </w:rPr>
        <w:t xml:space="preserve">) </w:t>
      </w:r>
      <w:r>
        <w:rPr>
          <w:rtl w:val="true"/>
        </w:rPr>
        <w:t>تغذيةً ضمنية متعددة الأبعاد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وفكرة ترجيح التفاعل الضمني بدرجة ثقة تتزايد مع شدّته ليست جديدة</w:t>
      </w:r>
      <w:r>
        <w:rPr>
          <w:rtl w:val="true"/>
        </w:rPr>
        <w:t xml:space="preserve">. </w:t>
      </w:r>
      <w:r>
        <w:rPr>
          <w:rtl w:val="true"/>
        </w:rPr>
        <w:t xml:space="preserve">فهي أساس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المحتمل في سياق الرسالة لا يكمن في الفكرة، بل في اختبارها على سجلات تعليمية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غير أن للتغذية الضمنية مشكلتين معروفتين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84"/>
        </w:numPr>
        <w:bidi w:val="1"/>
        <w:rPr/>
      </w:pPr>
      <w:r>
        <w:rPr>
          <w:b/>
          <w:b/>
          <w:bCs/>
          <w:rtl w:val="true"/>
        </w:rPr>
        <w:t>الضوضاء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أن التغذية الضمنية </w:t>
      </w:r>
      <w:r>
        <w:rPr>
          <w:rtl w:val="true"/>
        </w:rPr>
        <w:t>«</w:t>
      </w:r>
      <w:r>
        <w:rPr>
          <w:rtl w:val="true"/>
        </w:rPr>
        <w:t>أكثر ضوضاءً وقد تضلّل تعلّم النموذج إن استُعملت مباشرة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85"/>
        </w:numPr>
        <w:bidi w:val="1"/>
        <w:rPr/>
      </w:pPr>
      <w:r>
        <w:rPr>
          <w:b/>
          <w:b/>
          <w:bCs/>
          <w:rtl w:val="true"/>
        </w:rPr>
        <w:t>التحيّز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يبيّن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أن عدم النقر لا يعني بالضرورة عدم الصلة، فقد لا يكون المستخدم قد فحص الموضع أصلاً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ولهذا فإن طريقة تحويل الأفعال إلى درجات تفضيل، وطريقة تعريف العينات السالبة، قراران منهجيان مؤثّران</w:t>
      </w:r>
      <w:r>
        <w:rPr>
          <w:rtl w:val="true"/>
        </w:rPr>
        <w:t xml:space="preserve">. </w:t>
      </w:r>
      <w:r>
        <w:rPr>
          <w:rtl w:val="true"/>
        </w:rPr>
        <w:t xml:space="preserve">فقد 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المقرر السالب بأنه ما كان إكماله أقل من </w:t>
      </w:r>
      <w:r>
        <w:rPr/>
        <w:t>50</w:t>
      </w:r>
      <w:r>
        <w:rPr>
          <w:rtl w:val="true"/>
        </w:rPr>
        <w:t xml:space="preserve">% </w:t>
      </w:r>
      <w:r>
        <w:rPr>
          <w:rtl w:val="true"/>
        </w:rPr>
        <w:t xml:space="preserve">أو درجته أقل من </w:t>
      </w:r>
      <w:r>
        <w:rPr/>
        <w:t>5</w:t>
      </w:r>
      <w:r>
        <w:rPr>
          <w:rtl w:val="true"/>
        </w:rPr>
        <w:t xml:space="preserve">، في حين 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السوالب عشوائياً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4952_277087200"/>
      <w:bookmarkStart w:id="23" w:name="مفهوم-سلوك-المتعلم-وإشاراته"/>
      <w:bookmarkEnd w:id="22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 xml:space="preserve">مفهوم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وإشاراته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التعريف المعتمد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بسلوك المتعلم في هذه الرسالة مجموع الأفعال </w:t>
      </w:r>
      <w:r>
        <w:rPr>
          <w:b/>
          <w:b/>
          <w:bCs/>
          <w:rtl w:val="true"/>
        </w:rPr>
        <w:t>المسجّلة آلياً</w:t>
      </w:r>
      <w:r>
        <w:rPr>
          <w:rtl w:val="true"/>
        </w:rPr>
        <w:t xml:space="preserve"> في منصة التعلم، والتي يمكن تحويلها إلى إشارات تفضيل أو ملامح لملف المتعلم</w:t>
      </w:r>
      <w:r>
        <w:rPr>
          <w:rtl w:val="true"/>
        </w:rPr>
        <w:t xml:space="preserve">. </w:t>
      </w:r>
      <w:r>
        <w:rPr>
          <w:rtl w:val="true"/>
        </w:rPr>
        <w:t>وتخرج من هذا التعريف ثلاثة أنواع من البيانات</w:t>
      </w:r>
      <w:r>
        <w:rPr>
          <w:rtl w:val="true"/>
        </w:rPr>
        <w:t xml:space="preserve">: </w:t>
      </w:r>
      <w:r>
        <w:rPr>
          <w:rtl w:val="true"/>
        </w:rPr>
        <w:t>التقييمات الصريحة، والاستبيانات، والبيانات الوصفية للمقررات</w:t>
      </w:r>
      <w:r>
        <w:rPr>
          <w:rtl w:val="true"/>
        </w:rPr>
        <w:t xml:space="preserve">. </w:t>
      </w:r>
      <w:r>
        <w:rPr>
          <w:rtl w:val="true"/>
        </w:rPr>
        <w:t xml:space="preserve">ويميّز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الإشارات الفعلية والاصطناعية والتصميمية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وتُجمع إشارات الأدبيات في ثماني فئات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86"/>
        </w:numPr>
        <w:bidi w:val="1"/>
        <w:rPr/>
      </w:pPr>
      <w:r>
        <w:rPr>
          <w:b/>
          <w:b/>
          <w:bCs/>
          <w:rtl w:val="true"/>
        </w:rPr>
        <w:t>النقرات وسجلات الوصول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النقرات على موارد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حسب نوع النشاط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وتسلسل النقرات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وسجلات خادم الويب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والنقر والتمرير في البحث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87"/>
        </w:numPr>
        <w:bidi w:val="1"/>
        <w:rPr/>
      </w:pPr>
      <w:r>
        <w:rPr>
          <w:b/>
          <w:b/>
          <w:bCs/>
          <w:rtl w:val="true"/>
        </w:rPr>
        <w:t>المشاهدة والاستشارة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الاستشارة الثنائية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والمشاهدة الموزونة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واستخدام كائن التعلم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88"/>
        </w:numPr>
        <w:bidi w:val="1"/>
        <w:rPr/>
      </w:pPr>
      <w:r>
        <w:rPr>
          <w:b/>
          <w:b/>
          <w:bCs/>
          <w:rtl w:val="true"/>
        </w:rPr>
        <w:t>الزمن والمدة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مدة كل سلوك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ومدة استخدام الكائن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وزمن المكوث </w:t>
      </w:r>
      <w:r>
        <w:rPr>
          <w:rtl w:val="true"/>
        </w:rPr>
        <w:t>(</w:t>
      </w:r>
      <w:r>
        <w:rPr/>
        <w:t>dwell time</w:t>
      </w:r>
      <w:r>
        <w:rPr>
          <w:rtl w:val="true"/>
        </w:rPr>
        <w:t>) 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ونسبة زمن التعلم إلى الزمن الأصلي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ونسبة مشاهدة الفيديو </w:t>
      </w:r>
      <w:r>
        <w:rPr>
          <w:rtl w:val="true"/>
        </w:rPr>
        <w:t>(</w:t>
      </w:r>
      <w:r>
        <w:rPr/>
        <w:t>watch ratio</w:t>
      </w:r>
      <w:r>
        <w:rPr>
          <w:rtl w:val="true"/>
        </w:rPr>
        <w:t>) 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89"/>
        </w:numPr>
        <w:bidi w:val="1"/>
        <w:rPr/>
      </w:pPr>
      <w:r>
        <w:rPr>
          <w:b/>
          <w:b/>
          <w:bCs/>
          <w:rtl w:val="true"/>
        </w:rPr>
        <w:t>التكرار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تكرار الوصول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ومرات الدخول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وتكرار السلوك الفعّال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].</w:t>
      </w:r>
    </w:p>
    <w:p>
      <w:pPr>
        <w:pStyle w:val="Compact"/>
        <w:numPr>
          <w:ilvl w:val="0"/>
          <w:numId w:val="90"/>
        </w:numPr>
        <w:bidi w:val="1"/>
        <w:rPr/>
      </w:pPr>
      <w:r>
        <w:rPr>
          <w:b/>
          <w:b/>
          <w:bCs/>
          <w:rtl w:val="true"/>
        </w:rPr>
        <w:t>التسلسل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ترتيب المقررات أو الموارد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ومسار المواضيع مقيساً بمعامل كندال </w:t>
      </w:r>
      <w:r>
        <w:rPr>
          <w:rtl w:val="true"/>
        </w:rPr>
        <w:t>(</w:t>
      </w:r>
      <w:r>
        <w:rPr/>
        <w:t>Kendall</w:t>
      </w:r>
      <w:r>
        <w:rPr>
          <w:rtl w:val="true"/>
        </w:rPr>
        <w:t>) 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91"/>
        </w:numPr>
        <w:bidi w:val="1"/>
        <w:rPr/>
      </w:pPr>
      <w:r>
        <w:rPr>
          <w:b/>
          <w:b/>
          <w:bCs/>
          <w:rtl w:val="true"/>
        </w:rPr>
        <w:t>التسجيل والإكمال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92"/>
        </w:numPr>
        <w:bidi w:val="1"/>
        <w:rPr/>
      </w:pPr>
      <w:r>
        <w:rPr>
          <w:b/>
          <w:b/>
          <w:bCs/>
          <w:rtl w:val="true"/>
        </w:rPr>
        <w:t>الدرجات والتقييمات التحصيلية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93"/>
        </w:numPr>
        <w:bidi w:val="1"/>
        <w:rPr/>
      </w:pPr>
      <w:r>
        <w:rPr>
          <w:b/>
          <w:b/>
          <w:bCs/>
          <w:rtl w:val="true"/>
        </w:rPr>
        <w:t>أفعال الحفظ والتفاعل الاجتماعي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الإشارات المرجعية </w:t>
      </w:r>
      <w:r>
        <w:rPr>
          <w:rtl w:val="true"/>
        </w:rPr>
        <w:t>(</w:t>
      </w:r>
      <w:r>
        <w:rPr/>
        <w:t>bookmarks</w:t>
      </w:r>
      <w:r>
        <w:rPr>
          <w:rtl w:val="true"/>
        </w:rPr>
        <w:t>) 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والإعجاب والتعليق والمتابعة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وأفعال الصفحة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والمجموعات والمنتديات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أن مصطلح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يُستعمل في بعض المراجع دون أن تحتوي بياناتها سلوكاً فعلياً</w:t>
      </w:r>
      <w:r>
        <w:rPr>
          <w:rtl w:val="true"/>
        </w:rPr>
        <w:t xml:space="preserve">. </w:t>
      </w:r>
      <w:r>
        <w:rPr>
          <w:rtl w:val="true"/>
        </w:rPr>
        <w:t xml:space="preserve">فبيانات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كتالوجات مقررات مجمّعة، وبيانات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 xml:space="preserve">اصطناعية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2"/>
        <w:bidi w:val="1"/>
        <w:rPr/>
      </w:pPr>
      <w:bookmarkStart w:id="24" w:name="__RefHeading___Toc14954_277087200"/>
      <w:bookmarkStart w:id="25" w:name="البدء-البارد-والتناثر-وانحياز-الشعبية"/>
      <w:bookmarkEnd w:id="24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البدء البارد والتناثر وانحياز الشعبية</w:t>
      </w:r>
    </w:p>
    <w:p>
      <w:pPr>
        <w:pStyle w:val="Normal"/>
        <w:numPr>
          <w:ilvl w:val="0"/>
          <w:numId w:val="94"/>
        </w:numPr>
        <w:bidi w:val="1"/>
        <w:rPr/>
      </w:pPr>
      <w:r>
        <w:rPr>
          <w:b/>
          <w:b/>
          <w:bCs/>
          <w:rtl w:val="true"/>
        </w:rPr>
        <w:t xml:space="preserve">البدء البارد </w:t>
      </w:r>
      <w:r>
        <w:rPr>
          <w:b/>
          <w:bCs/>
          <w:rtl w:val="true"/>
        </w:rPr>
        <w:t>(</w:t>
      </w:r>
      <w:r>
        <w:rPr>
          <w:b/>
          <w:bCs/>
        </w:rPr>
        <w:t>cold start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غياب تاريخ للمستخدم الجديد أو للعنصر الجديد</w:t>
      </w:r>
      <w:r>
        <w:rPr>
          <w:rtl w:val="true"/>
        </w:rPr>
        <w:t xml:space="preserve">. </w:t>
      </w:r>
      <w:r>
        <w:rPr>
          <w:rtl w:val="true"/>
        </w:rPr>
        <w:t>عولج في المجموعة بأربع طرق</w:t>
      </w:r>
      <w:r>
        <w:rPr>
          <w:rtl w:val="true"/>
        </w:rPr>
        <w:t>:</w:t>
      </w:r>
    </w:p>
    <w:p>
      <w:pPr>
        <w:pStyle w:val="Compact"/>
        <w:numPr>
          <w:ilvl w:val="1"/>
          <w:numId w:val="95"/>
        </w:numPr>
        <w:bidi w:val="1"/>
        <w:rPr/>
      </w:pPr>
      <w:r>
        <w:rPr>
          <w:rtl w:val="true"/>
        </w:rPr>
        <w:t xml:space="preserve">السمات والملف الشخصي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].</w:t>
      </w:r>
    </w:p>
    <w:p>
      <w:pPr>
        <w:pStyle w:val="Compact"/>
        <w:numPr>
          <w:ilvl w:val="1"/>
          <w:numId w:val="96"/>
        </w:numPr>
        <w:bidi w:val="1"/>
        <w:rPr/>
      </w:pPr>
      <w:r>
        <w:rPr>
          <w:rtl w:val="true"/>
        </w:rPr>
        <w:t xml:space="preserve">التراجع المتدرج من الشخصي إلى ما يقوم على الملف ثم إلى الأكثر شعبية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1"/>
          <w:numId w:val="97"/>
        </w:numPr>
        <w:bidi w:val="1"/>
        <w:rPr/>
      </w:pPr>
      <w:r>
        <w:rPr>
          <w:rtl w:val="true"/>
        </w:rPr>
        <w:t xml:space="preserve">المحتوى ورسوم المعرفة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1"/>
          <w:numId w:val="98"/>
        </w:numPr>
        <w:bidi w:val="1"/>
        <w:rPr/>
      </w:pPr>
      <w:r>
        <w:rPr>
          <w:rtl w:val="true"/>
        </w:rPr>
        <w:t xml:space="preserve">الاستكشاف العشوائي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ويقرّ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 نموذجه لا يعالج البدء البارد المطلق، ويقرّ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بأن الترميز بالمعرّفات لا يصلح له</w:t>
      </w:r>
      <w:r>
        <w:rPr>
          <w:rtl w:val="true"/>
        </w:rPr>
        <w:t>.</w:t>
      </w:r>
    </w:p>
    <w:p>
      <w:pPr>
        <w:pStyle w:val="Normal"/>
        <w:numPr>
          <w:ilvl w:val="0"/>
          <w:numId w:val="99"/>
        </w:numPr>
        <w:bidi w:val="1"/>
        <w:rPr/>
      </w:pPr>
      <w:r>
        <w:rPr>
          <w:b/>
          <w:b/>
          <w:bCs/>
          <w:rtl w:val="true"/>
        </w:rPr>
        <w:t xml:space="preserve">التناثر </w:t>
      </w:r>
      <w:r>
        <w:rPr>
          <w:b/>
          <w:bCs/>
          <w:rtl w:val="true"/>
        </w:rPr>
        <w:t>(</w:t>
      </w:r>
      <w:r>
        <w:rPr>
          <w:b/>
          <w:bCs/>
        </w:rPr>
        <w:t>sparsity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نسبة الخانات الفارغة في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بلغت، كما 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</w:t>
      </w:r>
      <w:r>
        <w:rPr>
          <w:rtl w:val="true"/>
        </w:rPr>
        <w:t xml:space="preserve">، وكانت </w:t>
      </w:r>
      <w:r>
        <w:rPr/>
        <w:t>3,347</w:t>
      </w:r>
      <w:r>
        <w:rPr>
          <w:rtl w:val="true"/>
        </w:rPr>
        <w:t xml:space="preserve"> </w:t>
      </w:r>
      <w:r>
        <w:rPr>
          <w:rtl w:val="true"/>
        </w:rPr>
        <w:t xml:space="preserve">استخداماً لـ </w:t>
      </w:r>
      <w:r>
        <w:rPr/>
        <w:t>62,008</w:t>
      </w:r>
      <w:r>
        <w:rPr>
          <w:rtl w:val="true"/>
        </w:rPr>
        <w:t xml:space="preserve"> </w:t>
      </w:r>
      <w:r>
        <w:rPr>
          <w:rtl w:val="true"/>
        </w:rPr>
        <w:t xml:space="preserve">كائناً في </w:t>
      </w:r>
      <w:r>
        <w:rPr/>
        <w:t>MERLOT [18]</w:t>
      </w:r>
      <w:r>
        <w:rPr>
          <w:rtl w:val="true"/>
        </w:rPr>
        <w:t xml:space="preserve">. </w:t>
      </w:r>
      <w:r>
        <w:rPr>
          <w:rtl w:val="true"/>
        </w:rPr>
        <w:t xml:space="preserve">أما انخفاض التناثر من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 xml:space="preserve">إلى </w:t>
      </w:r>
      <w:r>
        <w:rPr/>
        <w:t>19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فهو </w:t>
      </w:r>
      <w:r>
        <w:rPr>
          <w:b/>
          <w:b/>
          <w:bCs/>
          <w:rtl w:val="true"/>
        </w:rPr>
        <w:t xml:space="preserve">مثال توضيحي على مصفوفة من 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خانة</w:t>
      </w:r>
      <w:r>
        <w:rPr>
          <w:rtl w:val="true"/>
        </w:rPr>
        <w:t>، لا نتيجة تجريبية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>والتناثر خلفية عامة في الأدبيات، لكنه ليس التحدي في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فمصفوفة المتعلمين والموارد داخل عرض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الواحد أصغر كتالوجاً وأكثف كثيراً من مصفوفات </w:t>
      </w:r>
      <w:r>
        <w:rPr/>
        <w:t>MOOC</w:t>
      </w:r>
      <w:r>
        <w:rPr>
          <w:rtl w:val="true"/>
        </w:rPr>
        <w:t xml:space="preserve"> </w:t>
      </w:r>
      <w:r>
        <w:rPr>
          <w:rtl w:val="true"/>
        </w:rPr>
        <w:t xml:space="preserve">الكبيرة </w:t>
      </w:r>
      <w:r>
        <w:rPr>
          <w:rtl w:val="true"/>
        </w:rPr>
        <w:t>(</w:t>
      </w:r>
      <w:r>
        <w:rPr>
          <w:rtl w:val="true"/>
        </w:rPr>
        <w:t xml:space="preserve">تناثر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 [22]</w:t>
      </w:r>
      <w:r>
        <w:rPr>
          <w:rtl w:val="true"/>
        </w:rPr>
        <w:t>)</w:t>
      </w:r>
      <w:r>
        <w:rPr>
          <w:rtl w:val="true"/>
        </w:rPr>
        <w:t>، وتُقاس كثافتها لكل عرض في فصل المنهجية</w:t>
      </w:r>
      <w:r>
        <w:rPr>
          <w:rtl w:val="true"/>
        </w:rPr>
        <w:t xml:space="preserve">. </w:t>
      </w:r>
      <w:r>
        <w:rPr>
          <w:rtl w:val="true"/>
        </w:rPr>
        <w:t>ولذلك أُعيدت صياغة دافع المشكلة حول ثلاثة أمور بدلاً منه</w:t>
      </w:r>
      <w:r>
        <w:rPr>
          <w:rtl w:val="true"/>
        </w:rPr>
        <w:t xml:space="preserve">: </w:t>
      </w:r>
      <w:r>
        <w:rPr>
          <w:rtl w:val="true"/>
        </w:rPr>
        <w:t xml:space="preserve">هيمنة جدول المقرر والشعبية، وكثرة الإعادات، والبدء البارد للمتعلم ذي التاريخ القصير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).</w:t>
      </w:r>
    </w:p>
    <w:p>
      <w:pPr>
        <w:pStyle w:val="Normal"/>
        <w:numPr>
          <w:ilvl w:val="0"/>
          <w:numId w:val="100"/>
        </w:numPr>
        <w:bidi w:val="1"/>
        <w:rPr/>
      </w:pPr>
      <w:r>
        <w:rPr>
          <w:b/>
          <w:b/>
          <w:bCs/>
          <w:rtl w:val="true"/>
        </w:rPr>
        <w:t xml:space="preserve">الذيل الطويل وانحياز الشعبية </w:t>
      </w:r>
      <w:r>
        <w:rPr>
          <w:b/>
          <w:bCs/>
          <w:rtl w:val="true"/>
        </w:rPr>
        <w:t>(</w:t>
      </w:r>
      <w:r>
        <w:rPr>
          <w:b/>
          <w:bCs/>
        </w:rPr>
        <w:t>long tail / popularity bias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تركّز التفاعلات في عدد قليل من العناصر</w:t>
      </w:r>
      <w:r>
        <w:rPr>
          <w:rtl w:val="true"/>
        </w:rPr>
        <w:t xml:space="preserve">. </w:t>
      </w:r>
      <w:r>
        <w:rPr>
          <w:rtl w:val="true"/>
        </w:rPr>
        <w:t>لم يحلّل أي مرجع الذيل الطويل تحليلاً صريحاً</w:t>
      </w:r>
      <w:r>
        <w:rPr>
          <w:rtl w:val="true"/>
        </w:rPr>
        <w:t xml:space="preserve">. </w:t>
      </w:r>
      <w:r>
        <w:rPr>
          <w:rtl w:val="true"/>
        </w:rPr>
        <w:t xml:space="preserve">لكن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وثّق انحياز شعبية قوياً في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جعل خط أساس الشعبية منافساً</w:t>
      </w:r>
      <w:r>
        <w:rPr>
          <w:rtl w:val="true"/>
        </w:rPr>
        <w:t xml:space="preserve">. </w:t>
      </w:r>
      <w:r>
        <w:rPr>
          <w:rtl w:val="true"/>
        </w:rPr>
        <w:t xml:space="preserve">وقاس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التغطية </w:t>
      </w:r>
      <w:r>
        <w:rPr>
          <w:rtl w:val="true"/>
        </w:rPr>
        <w:t>(</w:t>
      </w:r>
      <w:r>
        <w:rPr/>
        <w:t>Coverage@10</w:t>
      </w:r>
      <w:r>
        <w:rPr>
          <w:rtl w:val="true"/>
        </w:rPr>
        <w:t xml:space="preserve">) </w:t>
      </w:r>
      <w:r>
        <w:rPr>
          <w:rtl w:val="true"/>
        </w:rPr>
        <w:t>مؤشراً على تنوع العناصر الموصى بها</w:t>
      </w:r>
      <w:r>
        <w:rPr>
          <w:rtl w:val="true"/>
        </w:rPr>
        <w:t>.</w:t>
      </w:r>
      <w:bookmarkEnd w:id="25"/>
    </w:p>
    <w:p>
      <w:pPr>
        <w:pStyle w:val="Heading2"/>
        <w:bidi w:val="1"/>
        <w:rPr/>
      </w:pPr>
      <w:bookmarkStart w:id="26" w:name="__RefHeading___Toc14956_277087200"/>
      <w:bookmarkStart w:id="27" w:name="مقاييس-التقييم-وبروتوكولات-التقسيم"/>
      <w:bookmarkEnd w:id="26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مقاييس التقييم وبروتوكولات التقسيم</w:t>
      </w:r>
    </w:p>
    <w:p>
      <w:pPr>
        <w:pStyle w:val="Heading3"/>
        <w:bidi w:val="1"/>
        <w:rPr/>
      </w:pPr>
      <w:bookmarkStart w:id="28" w:name="__RefHeading___Toc14958_277087200"/>
      <w:bookmarkStart w:id="29" w:name="مقاييس-قوائم-التوصية-top-n"/>
      <w:bookmarkEnd w:id="28"/>
      <w:r>
        <w:rPr/>
        <w:t>2.5.1</w:t>
      </w:r>
      <w:r>
        <w:rPr>
          <w:rtl w:val="true"/>
        </w:rPr>
        <w:t xml:space="preserve"> </w:t>
      </w:r>
      <w:r>
        <w:rPr>
          <w:rtl w:val="true"/>
        </w:rPr>
        <w:t xml:space="preserve">مقاييس قوائم التوصية </w:t>
      </w:r>
      <w:r>
        <w:rPr>
          <w:rtl w:val="true"/>
        </w:rPr>
        <w:t>(</w:t>
      </w:r>
      <w:r>
        <w:rPr/>
        <w:t>Top-N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تقيس هذه المقاييس جودة قائمة من أعلى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عنصراً</w:t>
      </w:r>
      <w:r>
        <w:rPr>
          <w:rtl w:val="true"/>
        </w:rPr>
        <w:t xml:space="preserve">. </w:t>
      </w:r>
      <w:r>
        <w:rPr>
          <w:rtl w:val="true"/>
        </w:rPr>
        <w:t xml:space="preserve">يعرض الجدول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تعريفها المفاهيمي ومدى حساسيتها لبروتوكول التقييم</w:t>
      </w:r>
      <w:r>
        <w:rPr>
          <w:rtl w:val="true"/>
        </w:rPr>
        <w:t xml:space="preserve">. </w:t>
      </w:r>
      <w:r>
        <w:rPr>
          <w:rtl w:val="true"/>
        </w:rPr>
        <w:t xml:space="preserve">وقوائم المراجع فيه هي نفسها قوائم الجدول </w:t>
      </w:r>
      <w:r>
        <w:rPr/>
        <w:t>14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مقاييس </w:t>
      </w:r>
      <w:r>
        <w:rPr>
          <w:b/>
          <w:bCs/>
        </w:rPr>
        <w:t>Top-N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المستعملة في المجموعة وحساسيتها للبروتوكول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54"/>
        <w:gridCol w:w="2724"/>
        <w:gridCol w:w="2461"/>
        <w:gridCol w:w="2548"/>
      </w:tblGrid>
      <w:tr>
        <w:trPr>
          <w:tblHeader w:val="true"/>
        </w:trPr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يقيسه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مراجع استعملته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الحساسية للبروتوكول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بين الـ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حدّها الأعلى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حين يوجد عنصر هدف واحد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التي ظهرت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العناصر الصحيحة لكل مستخدم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ظهر العنصر الهدف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تتضخم عند الترتيب بين عيّنة صغيرة من السوالب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جودة الترتيب مع خصم للمواضع المتأخرة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مثل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>، وتتأثر بحجم الكتالوج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مقلوب رتبة أول عنصر صحيح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بحجم قائمة المرشحين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عبر المواضع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الصحيحين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الوسط التوافقي للدقة والاسترجاع عند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كما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Recall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الكتالوج التي يوصى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معدل التغطية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 على التنوع والذيل الطويل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وتستعمل مراجع أخرى مقاييس ليست من مقاييس الترتيب، ولا تقيس جودة قائمة التوصية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101"/>
        </w:numPr>
        <w:bidi w:val="1"/>
        <w:rPr/>
      </w:pPr>
      <w:r>
        <w:rPr>
          <w:b/>
          <w:b/>
          <w:bCs/>
          <w:rtl w:val="true"/>
        </w:rPr>
        <w:t>الدقة التصنيفية و</w:t>
      </w:r>
      <w:r>
        <w:rPr>
          <w:b/>
          <w:bCs/>
        </w:rPr>
        <w:t>F1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التصنيفي </w:t>
      </w:r>
      <w:r>
        <w:rPr>
          <w:b/>
          <w:bCs/>
          <w:rtl w:val="true"/>
        </w:rPr>
        <w:t>(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>
          <w:rtl w:val="true"/>
        </w:rPr>
        <w:t>على البيانات الاصطناعية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Compact"/>
        <w:numPr>
          <w:ilvl w:val="0"/>
          <w:numId w:val="102"/>
        </w:numPr>
        <w:bidi w:val="1"/>
        <w:rPr/>
      </w:pPr>
      <w:r>
        <w:rPr>
          <w:b/>
          <w:b/>
          <w:bCs/>
          <w:rtl w:val="true"/>
        </w:rPr>
        <w:t xml:space="preserve">أخطاء التنبؤ بالتقييم </w:t>
      </w:r>
      <w:r>
        <w:rPr>
          <w:b/>
          <w:bCs/>
        </w:rPr>
        <w:t>MAE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RMSE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29"/>
    </w:p>
    <w:p>
      <w:pPr>
        <w:pStyle w:val="Heading3"/>
        <w:bidi w:val="1"/>
        <w:rPr/>
      </w:pPr>
      <w:bookmarkStart w:id="30" w:name="__RefHeading___Toc14960_277087200"/>
      <w:bookmarkStart w:id="31" w:name="بروتوكولات-التقسيم-وأثرها-في-الأرقام"/>
      <w:bookmarkEnd w:id="30"/>
      <w:r>
        <w:rPr/>
        <w:t>2.5.2</w:t>
      </w:r>
      <w:r>
        <w:rPr>
          <w:rtl w:val="true"/>
        </w:rPr>
        <w:t xml:space="preserve"> </w:t>
      </w:r>
      <w:r>
        <w:rPr>
          <w:rtl w:val="true"/>
        </w:rPr>
        <w:t>بروتوكولات التقسيم وأثرها في الأرقام</w:t>
      </w:r>
    </w:p>
    <w:p>
      <w:pPr>
        <w:pStyle w:val="Normal"/>
        <w:bidi w:val="1"/>
        <w:rPr/>
      </w:pPr>
      <w:r>
        <w:rPr>
          <w:rtl w:val="true"/>
        </w:rPr>
        <w:t>تُستعمل في المجموعة ثلاثة أنماط لتقسيم البيانات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3"/>
        </w:numPr>
        <w:bidi w:val="1"/>
        <w:rPr/>
      </w:pPr>
      <w:r>
        <w:rPr>
          <w:b/>
          <w:b/>
          <w:bCs/>
          <w:rtl w:val="true"/>
        </w:rPr>
        <w:t>التقسيم الزمني العام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تُستعمل التفاعلات حتى تاريخ معين للتدريب، وما بعده للاختبار</w:t>
      </w:r>
      <w:r>
        <w:rPr>
          <w:rtl w:val="true"/>
        </w:rPr>
        <w:t xml:space="preserve">. </w:t>
      </w:r>
      <w:r>
        <w:rPr>
          <w:rtl w:val="true"/>
        </w:rPr>
        <w:t xml:space="preserve">لم يطبّقه بوضوح إلا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الذي درّب حتى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 xml:space="preserve">كانون الأول </w:t>
      </w:r>
      <w:r>
        <w:rPr/>
        <w:t>2017</w:t>
      </w:r>
      <w:r>
        <w:rPr>
          <w:rtl w:val="true"/>
        </w:rPr>
        <w:t xml:space="preserve"> </w:t>
      </w:r>
      <w:r>
        <w:rPr>
          <w:rtl w:val="true"/>
        </w:rPr>
        <w:t xml:space="preserve">واختبر على الفترة من كانون الثاني إلى آذار </w:t>
      </w:r>
      <w:r>
        <w:rPr/>
        <w:t>2018</w:t>
      </w:r>
      <w:r>
        <w:rPr>
          <w:rtl w:val="true"/>
        </w:rPr>
        <w:t xml:space="preserve">. </w:t>
      </w:r>
      <w:r>
        <w:rPr>
          <w:rtl w:val="true"/>
        </w:rPr>
        <w:t xml:space="preserve">واستعمل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شرائح زمنية متزايدة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04"/>
        </w:numPr>
        <w:bidi w:val="1"/>
        <w:rPr/>
      </w:pPr>
      <w:r>
        <w:rPr>
          <w:b/>
          <w:b/>
          <w:bCs/>
          <w:rtl w:val="true"/>
        </w:rPr>
        <w:t xml:space="preserve">ترك العنصر أو الجلسة الأخيرة لكل مستخدم </w:t>
      </w:r>
      <w:r>
        <w:rPr>
          <w:b/>
          <w:bCs/>
          <w:rtl w:val="true"/>
        </w:rPr>
        <w:t>(</w:t>
      </w:r>
      <w:r>
        <w:rPr>
          <w:b/>
          <w:bCs/>
        </w:rPr>
        <w:t>leave-last-out / leave-one-out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آخر جلسة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وآخر عنصر في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].</w:t>
      </w:r>
    </w:p>
    <w:p>
      <w:pPr>
        <w:pStyle w:val="Compact"/>
        <w:numPr>
          <w:ilvl w:val="0"/>
          <w:numId w:val="105"/>
        </w:numPr>
        <w:bidi w:val="1"/>
        <w:rPr/>
      </w:pPr>
      <w:r>
        <w:rPr>
          <w:b/>
          <w:b/>
          <w:bCs/>
          <w:rtl w:val="true"/>
        </w:rPr>
        <w:t>التقسيم العشوائي والتحقق المتقاطع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>وغيرها</w:t>
      </w:r>
      <w:r>
        <w:rPr>
          <w:rtl w:val="true"/>
        </w:rPr>
        <w:t xml:space="preserve">. </w:t>
      </w:r>
      <w:r>
        <w:rPr>
          <w:rtl w:val="true"/>
        </w:rPr>
        <w:t>يسمح هذا التقسيم بأن يتدرّب النموذج على تفاعلات لاحقة زمنياً لما يُختبر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وفي كل نمط يمكن الترتيب على </w:t>
      </w:r>
      <w:r>
        <w:rPr>
          <w:b/>
          <w:b/>
          <w:bCs/>
          <w:rtl w:val="true"/>
        </w:rPr>
        <w:t xml:space="preserve">الكتالوج كاملاً </w:t>
      </w:r>
      <w:r>
        <w:rPr>
          <w:b/>
          <w:bCs/>
          <w:rtl w:val="true"/>
        </w:rPr>
        <w:t>(</w:t>
      </w:r>
      <w:r>
        <w:rPr>
          <w:b/>
          <w:bCs/>
        </w:rPr>
        <w:t>full-catalog</w:t>
      </w:r>
      <w:r>
        <w:rPr>
          <w:b/>
          <w:bCs/>
          <w:rtl w:val="true"/>
        </w:rPr>
        <w:t>)</w:t>
      </w:r>
      <w:r>
        <w:rPr>
          <w:rtl w:val="true"/>
        </w:rPr>
        <w:t>، أو بين العنصر الهدف و</w:t>
      </w:r>
      <w:r>
        <w:rPr>
          <w:b/>
          <w:b/>
          <w:bCs/>
          <w:rtl w:val="true"/>
        </w:rPr>
        <w:t xml:space="preserve">عيّنة من السوالب </w:t>
      </w:r>
      <w:r>
        <w:rPr>
          <w:b/>
          <w:bCs/>
          <w:rtl w:val="true"/>
        </w:rPr>
        <w:t>(</w:t>
      </w:r>
      <w:r>
        <w:rPr>
          <w:b/>
          <w:bCs/>
        </w:rPr>
        <w:t>sampled</w:t>
      </w:r>
      <w:r>
        <w:rPr>
          <w:b/>
          <w:bCs/>
          <w:rtl w:val="true"/>
        </w:rPr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استعمل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تسعاً وتسعين سالبة، واستعمل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مئة سالبة، وأخذ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مئة عنصر لم يتفاعل معها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ولم يُصرّح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بالبروتوكول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وتتصل بالبروتوكول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06"/>
        </w:numPr>
        <w:bidi w:val="1"/>
        <w:rPr/>
      </w:pPr>
      <w:r>
        <w:rPr>
          <w:b/>
          <w:b/>
          <w:bCs/>
          <w:rtl w:val="true"/>
        </w:rPr>
        <w:t>حجم قائمة المرشحين يفسّر جزءاً من التباين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تقارب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عند الترتيب بين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سالبة لكل النماذج عدا </w:t>
      </w:r>
      <w:r>
        <w:rPr/>
        <w:t>CBF (0.723)</w:t>
      </w:r>
      <w:r>
        <w:rPr>
          <w:rtl w:val="true"/>
        </w:rPr>
        <w:t xml:space="preserve">، وقيماً بين </w:t>
      </w:r>
      <w:r>
        <w:rPr/>
        <w:t>0.43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0.92</w:t>
      </w:r>
      <w:r>
        <w:rPr>
          <w:rtl w:val="true"/>
        </w:rPr>
        <w:t xml:space="preserve"> </w:t>
      </w:r>
      <w:r>
        <w:rPr>
          <w:rtl w:val="true"/>
        </w:rPr>
        <w:t xml:space="preserve">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 xml:space="preserve">). </w:t>
      </w:r>
      <w:r>
        <w:rPr>
          <w:rtl w:val="true"/>
        </w:rPr>
        <w:t xml:space="preserve">وتشير أعمال خارج المجموعة إلى أن المقاييس المحسوبة على عيّنات سوالب قد لا تحفظ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107"/>
        </w:numPr>
        <w:bidi w:val="1"/>
        <w:rPr/>
      </w:pPr>
      <w:r>
        <w:rPr>
          <w:b/>
          <w:b/>
          <w:bCs/>
          <w:rtl w:val="true"/>
        </w:rPr>
        <w:t>عوامل أخرى غير مضبوطة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على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 = 0.7968</w:t>
      </w:r>
      <w:r>
        <w:rPr>
          <w:rtl w:val="true"/>
        </w:rPr>
        <w:t xml:space="preserve"> </w:t>
      </w:r>
      <w:r>
        <w:rPr>
          <w:rtl w:val="true"/>
        </w:rPr>
        <w:t xml:space="preserve">بتسع وتسعين سالبة، وأورد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0.662</w:t>
      </w:r>
      <w:r>
        <w:rPr>
          <w:rtl w:val="true"/>
        </w:rPr>
        <w:t xml:space="preserve"> </w:t>
      </w:r>
      <w:r>
        <w:rPr>
          <w:rtl w:val="true"/>
        </w:rPr>
        <w:t xml:space="preserve">بمئة سالبة، وأورد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0.4534</w:t>
      </w:r>
      <w:r>
        <w:rPr>
          <w:rtl w:val="true"/>
        </w:rPr>
        <w:t xml:space="preserve"> </w:t>
      </w:r>
      <w:r>
        <w:rPr>
          <w:rtl w:val="true"/>
        </w:rPr>
        <w:t>ببروتوكول لم يُصرَّح به</w:t>
      </w:r>
      <w:r>
        <w:rPr>
          <w:rtl w:val="true"/>
        </w:rPr>
        <w:t xml:space="preserve">. </w:t>
      </w:r>
      <w:r>
        <w:rPr>
          <w:rtl w:val="true"/>
        </w:rPr>
        <w:t>لكن الفرق لا يُنسب إلى البروتوكول وحده، إذ تتداخل عوامل أخرى غير مضبوطة</w:t>
      </w:r>
      <w:r>
        <w:rPr>
          <w:rtl w:val="true"/>
        </w:rPr>
        <w:t xml:space="preserve">: </w:t>
      </w:r>
      <w:r>
        <w:rPr>
          <w:rtl w:val="true"/>
        </w:rPr>
        <w:t xml:space="preserve">تصفية المستخدمين </w:t>
      </w:r>
      <w:r>
        <w:rPr>
          <w:rtl w:val="true"/>
        </w:rPr>
        <w:t>(</w:t>
      </w:r>
      <w:r>
        <w:rPr>
          <w:rtl w:val="true"/>
        </w:rPr>
        <w:t xml:space="preserve">ثلاثة مقررات على الأقل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</w:t>
      </w:r>
      <w:r>
        <w:rPr>
          <w:rtl w:val="true"/>
        </w:rPr>
        <w:t xml:space="preserve">، وحجم العيّنة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82</w:t>
      </w:r>
      <w:r>
        <w:rPr>
          <w:rtl w:val="true"/>
        </w:rPr>
        <w:t xml:space="preserve"> </w:t>
      </w:r>
      <w:r>
        <w:rPr>
          <w:rtl w:val="true"/>
        </w:rPr>
        <w:t xml:space="preserve">ألف مستخدم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مقابل </w:t>
      </w:r>
      <w:r>
        <w:rPr/>
        <w:t>199</w:t>
      </w:r>
      <w:r>
        <w:rPr>
          <w:rtl w:val="true"/>
        </w:rPr>
        <w:t xml:space="preserve"> </w:t>
      </w:r>
      <w:r>
        <w:rPr>
          <w:rtl w:val="true"/>
        </w:rPr>
        <w:t xml:space="preserve">ألفاً 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])</w:t>
      </w:r>
      <w:r>
        <w:rPr>
          <w:rtl w:val="true"/>
        </w:rPr>
        <w:t>، وطريقة التقسيم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08"/>
        </w:numPr>
        <w:bidi w:val="1"/>
        <w:rPr/>
      </w:pPr>
      <w:r>
        <w:rPr>
          <w:b/>
          <w:b/>
          <w:bCs/>
          <w:rtl w:val="true"/>
        </w:rPr>
        <w:t>حدّ نظري تتجاوزه النتيجة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عرّف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المقياس </w:t>
      </w:r>
      <w:r>
        <w:rPr/>
        <w:t>Precision@10</w:t>
      </w:r>
      <w:r>
        <w:rPr>
          <w:rtl w:val="true"/>
        </w:rPr>
        <w:t xml:space="preserve"> </w:t>
      </w:r>
      <w:r>
        <w:rPr>
          <w:rtl w:val="true"/>
        </w:rPr>
        <w:t xml:space="preserve">بأنه عدد الإصابات مقسوماً على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في بروتوكول له عنصر هدف واحد، فحدّه الأعلى النظري </w:t>
      </w:r>
      <w:r>
        <w:rPr/>
        <w:t>0.1</w:t>
      </w:r>
      <w:r>
        <w:rPr>
          <w:rtl w:val="true"/>
        </w:rPr>
        <w:t xml:space="preserve">، ومع ذلك أورد قيمة </w:t>
      </w:r>
      <w:r>
        <w:rPr/>
        <w:t>0.447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الأرقام المنشورة لا تُقارَن عبر الأوراق إلا إذا اتّحد البروتوكول وحجم قائمة المرشحين ومعالجة البيانات</w:t>
      </w:r>
      <w:r>
        <w:rPr>
          <w:rtl w:val="true"/>
        </w:rPr>
        <w:t xml:space="preserve">. </w:t>
      </w:r>
      <w:r>
        <w:rPr>
          <w:rtl w:val="true"/>
        </w:rPr>
        <w:t xml:space="preserve">ولهذا تذكر جداول هذا الفصل البروتوكول بجانب كل رقم، وتكتفي بعبارة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دون ترتيب الأوراق حسب أرقامها</w:t>
      </w:r>
      <w:r>
        <w:rPr>
          <w:rtl w:val="true"/>
        </w:rPr>
        <w:t>.</w:t>
      </w:r>
      <w:bookmarkEnd w:id="17"/>
      <w:bookmarkEnd w:id="27"/>
      <w:bookmarkEnd w:id="31"/>
    </w:p>
    <w:p>
      <w:pPr>
        <w:pStyle w:val="Heading1"/>
        <w:bidi w:val="1"/>
        <w:rPr/>
      </w:pPr>
      <w:bookmarkStart w:id="32" w:name="__RefHeading___Toc14962_277087200"/>
      <w:bookmarkStart w:id="33" w:name="تصنيف-الأعمال-السابقة-taxonomy"/>
      <w:bookmarkEnd w:id="3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تصنيف الأعمال السابقة </w:t>
      </w:r>
      <w:r>
        <w:rPr>
          <w:rtl w:val="true"/>
        </w:rPr>
        <w:t>(</w:t>
      </w:r>
      <w:r>
        <w:rPr/>
        <w:t>Taxonomy</w:t>
      </w:r>
      <w:r>
        <w:rPr>
          <w:rtl w:val="true"/>
        </w:rPr>
        <w:t>)</w:t>
      </w:r>
    </w:p>
    <w:p>
      <w:pPr>
        <w:pStyle w:val="Heading2"/>
        <w:bidi w:val="1"/>
        <w:rPr/>
      </w:pPr>
      <w:bookmarkStart w:id="34" w:name="__RefHeading___Toc14964_277087200"/>
      <w:bookmarkStart w:id="35" w:name="معيار-التصنيف-وبنيته"/>
      <w:bookmarkEnd w:id="3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معيار التصنيف وبنيته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المعيار المعلن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يُسنَد كل مرجع إلى </w:t>
      </w:r>
      <w:r>
        <w:rPr>
          <w:b/>
          <w:b/>
          <w:bCs/>
          <w:rtl w:val="true"/>
        </w:rPr>
        <w:t>محور أساسي واحد</w:t>
      </w:r>
      <w:r>
        <w:rPr>
          <w:rtl w:val="true"/>
        </w:rPr>
        <w:t xml:space="preserve"> هو محور </w:t>
      </w:r>
      <w:r>
        <w:rPr>
          <w:b/>
          <w:b/>
          <w:bCs/>
          <w:rtl w:val="true"/>
        </w:rPr>
        <w:t>إسهامه الرئيسي</w:t>
      </w:r>
      <w:r>
        <w:rPr>
          <w:rtl w:val="true"/>
        </w:rPr>
        <w:t>، أي ما يقدّمه المؤلفون بوصفه مساهمة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فإن جمعت الورقة أكثر من أسلوب، يُذكر المحور الثانوي في ملاحظة صريحة، في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وفي الجدول أ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، ولا يُحتسب المرجع مرتين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والمجال، أي التعليم أو غيره، </w:t>
      </w:r>
      <w:r>
        <w:rPr>
          <w:b/>
          <w:b/>
          <w:bCs/>
          <w:rtl w:val="true"/>
        </w:rPr>
        <w:t>ليس محوراً</w:t>
      </w:r>
      <w:r>
        <w:rPr>
          <w:rtl w:val="true"/>
        </w:rPr>
        <w:t xml:space="preserve">. </w:t>
      </w:r>
      <w:r>
        <w:rPr>
          <w:rtl w:val="true"/>
        </w:rPr>
        <w:t xml:space="preserve">فالمراجع السبعة من خارج التعليم وُضعت في محاور طرائقها مع وسم </w:t>
      </w:r>
      <w:r>
        <w:rPr>
          <w:rtl w:val="true"/>
        </w:rPr>
        <w:t>«</w:t>
      </w:r>
      <w:r>
        <w:rPr>
          <w:rtl w:val="true"/>
        </w:rPr>
        <w:t>مجال آخر</w:t>
      </w:r>
      <w:r>
        <w:rPr>
          <w:rtl w:val="true"/>
        </w:rPr>
        <w:t>»</w:t>
      </w:r>
      <w:r>
        <w:rPr>
          <w:rtl w:val="true"/>
        </w:rPr>
        <w:t xml:space="preserve">، ويُناقَش ما يُنقل منها إلى التعليم في القسم </w:t>
      </w:r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بوصفه قراءة عرضية لا محوراً مستقلاً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المحاور الخمسة ومراجعها الأساسية والثانوية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12"/>
        <w:gridCol w:w="2112"/>
        <w:gridCol w:w="592"/>
        <w:gridCol w:w="845"/>
        <w:gridCol w:w="3127"/>
      </w:tblGrid>
      <w:tr>
        <w:trPr>
          <w:tblHeader w:val="true"/>
        </w:trPr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المحور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الإسهام الرئيسي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 الأساسية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منها من مجال آخر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ترد فيه ثانوياً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القاسم المشترك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تحليل السلوك وبناء ملف المتعلم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السجلات إلى ملف أو مستوى؛ التوصية فيها ثانوية أو ضعيفة التقييم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التصفية التعاونية والمحتوى والهجين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هو الأكثر تكراراً؛ بيانات صغيرة أو خاصة غالباً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النماذج التسلسلية والعميقة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التفاعلات ومقاييس الترتيب؛ أكثر المحاور استعمالاً لبيانات عامة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الرسوم البيانية والمعرفية والتعلم المعزّز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بنية المعرفة أو القرار المتتابع؛ تقييم غير متكافئ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التجميع والتعلم الآلي الكلاسيكي والترتيب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تصنيف أو تجميع، أو بيانات اصطناعية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تبرير الإسنادات الحدّية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0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المعلن تحليل سلوك تعلّم الإنكليزية ودمج الإشارات في متجه سلوكي، والتعلّم الاتحادي وسيلة لذلك</w:t>
      </w:r>
      <w:r>
        <w:rPr>
          <w:rtl w:val="true"/>
        </w:rPr>
        <w:t xml:space="preserve">. </w:t>
      </w:r>
      <w:r>
        <w:rPr>
          <w:rtl w:val="true"/>
        </w:rPr>
        <w:t>محوراه الثانويان ج 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نمذجة الحالة المعرفية والسلوكية للمتعلم، والتعلم المعزّز الهرمي أداة</w:t>
      </w:r>
      <w:r>
        <w:rPr>
          <w:rtl w:val="true"/>
        </w:rPr>
        <w:t xml:space="preserve">. </w:t>
      </w:r>
      <w:r>
        <w:rPr>
          <w:rtl w:val="true"/>
        </w:rPr>
        <w:t>محوره الثانوي د</w:t>
      </w:r>
      <w:r>
        <w:rPr>
          <w:rtl w:val="true"/>
        </w:rPr>
        <w:t>.</w:t>
      </w:r>
    </w:p>
    <w:p>
      <w:pPr>
        <w:pStyle w:val="Compact"/>
        <w:numPr>
          <w:ilvl w:val="0"/>
          <w:numId w:val="11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المكوّن التسلسلي 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هو محور مقارنته على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 xml:space="preserve">ومحوره الثانوي د، لأن أوزان الدمج تتعلمها </w:t>
      </w:r>
      <w:r>
        <w:rPr/>
        <w:t>Q-learning</w:t>
      </w:r>
      <w:r>
        <w:rPr>
          <w:rtl w:val="true"/>
        </w:rPr>
        <w:t>.</w:t>
      </w:r>
    </w:p>
    <w:p>
      <w:pPr>
        <w:pStyle w:val="Compact"/>
        <w:numPr>
          <w:ilvl w:val="0"/>
          <w:numId w:val="11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تنقيح ملف المستخدم بالتعلم المعزّز الهرمي</w:t>
      </w:r>
      <w:r>
        <w:rPr>
          <w:rtl w:val="true"/>
        </w:rPr>
        <w:t xml:space="preserve">. </w:t>
      </w:r>
      <w:r>
        <w:rPr>
          <w:rtl w:val="true"/>
        </w:rPr>
        <w:t xml:space="preserve">محوره الثانوي ج، لأن النموذجين الأساسيين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>من نماذج الانتباه</w:t>
      </w:r>
      <w:r>
        <w:rPr>
          <w:rtl w:val="true"/>
        </w:rPr>
        <w:t>.</w:t>
      </w:r>
    </w:p>
    <w:p>
      <w:pPr>
        <w:pStyle w:val="Compact"/>
        <w:numPr>
          <w:ilvl w:val="0"/>
          <w:numId w:val="11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هـ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إسهامه تجميع الخوارزميات </w:t>
      </w:r>
      <w:r>
        <w:rPr>
          <w:rtl w:val="true"/>
        </w:rPr>
        <w:t>(</w:t>
      </w:r>
      <w:r>
        <w:rPr/>
        <w:t>ensemble</w:t>
      </w:r>
      <w:r>
        <w:rPr>
          <w:rtl w:val="true"/>
        </w:rPr>
        <w:t>)</w:t>
      </w:r>
      <w:r>
        <w:rPr>
          <w:rtl w:val="true"/>
        </w:rPr>
        <w:t>، وهو من مجال الأفلام</w:t>
      </w:r>
      <w:r>
        <w:rPr>
          <w:rtl w:val="true"/>
        </w:rPr>
        <w:t>.</w:t>
      </w:r>
      <w:bookmarkEnd w:id="35"/>
    </w:p>
    <w:p>
      <w:pPr>
        <w:pStyle w:val="Heading2"/>
        <w:bidi w:val="1"/>
        <w:rPr/>
      </w:pPr>
      <w:bookmarkStart w:id="36" w:name="__RefHeading___Toc14966_277087200"/>
      <w:bookmarkStart w:id="37" w:name="X9f4a567e466914914490b0a8ff062291498e87c"/>
      <w:bookmarkEnd w:id="3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): </w:t>
      </w:r>
      <w:r>
        <w:rPr>
          <w:rtl w:val="true"/>
        </w:rPr>
        <w:t>تحليل سلوك المتعلم وبناء الملف الشخصي</w:t>
      </w:r>
    </w:p>
    <w:p>
      <w:pPr>
        <w:pStyle w:val="Normal"/>
        <w:bidi w:val="1"/>
        <w:rPr/>
      </w:pPr>
      <w:r>
        <w:rPr>
          <w:rtl w:val="true"/>
        </w:rPr>
        <w:t>تشترك أوراق هذا المحور في افتراض واحد</w:t>
      </w:r>
      <w:r>
        <w:rPr>
          <w:rtl w:val="true"/>
        </w:rPr>
        <w:t xml:space="preserve">: </w:t>
      </w:r>
      <w:r>
        <w:rPr>
          <w:rtl w:val="true"/>
        </w:rPr>
        <w:t>سجلات النشاط تكشف خصائص المتعلم، كاهتمامه ومستواه ونمط تعلّمه، ويمكن تحويلها إلى ملف يوجّه التخصيص</w:t>
      </w:r>
      <w:r>
        <w:rPr>
          <w:rtl w:val="true"/>
        </w:rPr>
        <w:t xml:space="preserve">. </w:t>
      </w:r>
      <w:r>
        <w:rPr>
          <w:rtl w:val="true"/>
        </w:rPr>
        <w:t>وتتمايز الأوراق في ثلاثة أبعاد</w:t>
      </w:r>
      <w:r>
        <w:rPr>
          <w:rtl w:val="true"/>
        </w:rPr>
        <w:t xml:space="preserve">: </w:t>
      </w:r>
      <w:r>
        <w:rPr>
          <w:rtl w:val="true"/>
        </w:rPr>
        <w:t>الإشارة، وطريقة التحويل، وطريقة التقييم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أوضح تصنيف للإشارات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فهو يحدّد اثني عشر سلوكاً، منها قراءة النص ومشاهدة الوسائط والتمارين والتنزيل والسؤال، ويرصد مدة كل منها، وينطلق من أن </w:t>
      </w:r>
      <w:r>
        <w:rPr>
          <w:rtl w:val="true"/>
        </w:rPr>
        <w:t>«</w:t>
      </w:r>
      <w:r>
        <w:rPr>
          <w:rtl w:val="true"/>
        </w:rPr>
        <w:t>تكرار سلوك التعلم يعكس انتباه المتعلم إلى الموارد</w:t>
      </w:r>
      <w:r>
        <w:rPr>
          <w:rtl w:val="true"/>
        </w:rPr>
        <w:t xml:space="preserve">». </w:t>
      </w:r>
      <w:r>
        <w:rPr>
          <w:rtl w:val="true"/>
        </w:rPr>
        <w:t xml:space="preserve">ويلتقط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إشارات الجلسة</w:t>
      </w:r>
      <w:r>
        <w:rPr>
          <w:rtl w:val="true"/>
        </w:rPr>
        <w:t xml:space="preserve">: </w:t>
      </w:r>
      <w:r>
        <w:rPr>
          <w:rtl w:val="true"/>
        </w:rPr>
        <w:t>عدد مرات الدخول، والبحوث في كل دخول، والروابط المنقورة، والتمرير، والزمن</w:t>
      </w:r>
      <w:r>
        <w:rPr>
          <w:rtl w:val="true"/>
        </w:rPr>
        <w:t xml:space="preserve">. </w:t>
      </w:r>
      <w:r>
        <w:rPr>
          <w:rtl w:val="true"/>
        </w:rPr>
        <w:t xml:space="preserve">وتشتق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 xml:space="preserve">ملف كفاءة </w:t>
      </w:r>
      <w:r>
        <w:rPr>
          <w:b/>
          <w:b/>
          <w:bCs/>
          <w:rtl w:val="true"/>
        </w:rPr>
        <w:t>المعلّمين</w:t>
      </w:r>
      <w:r>
        <w:rPr>
          <w:rtl w:val="true"/>
        </w:rPr>
        <w:t xml:space="preserve"> من أربع إشارات</w:t>
      </w:r>
      <w:r>
        <w:rPr>
          <w:rtl w:val="true"/>
        </w:rPr>
        <w:t xml:space="preserve">: </w:t>
      </w:r>
      <w:r>
        <w:rPr>
          <w:rtl w:val="true"/>
        </w:rPr>
        <w:t>التقييم، والإشارة المرجعية، والوصول، والإنشاء</w:t>
      </w:r>
      <w:r>
        <w:rPr>
          <w:rtl w:val="true"/>
        </w:rPr>
        <w:t xml:space="preserve">. </w:t>
      </w:r>
      <w:r>
        <w:rPr>
          <w:rtl w:val="true"/>
        </w:rPr>
        <w:t xml:space="preserve">ويجمع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أغنى الإشارات</w:t>
      </w:r>
      <w:r>
        <w:rPr>
          <w:rtl w:val="true"/>
        </w:rPr>
        <w:t xml:space="preserve">: </w:t>
      </w:r>
      <w:r>
        <w:rPr>
          <w:rtl w:val="true"/>
        </w:rPr>
        <w:t xml:space="preserve">النقرات، وزمن المكوث، والإجابات وأنواع الأخطاء، من </w:t>
      </w:r>
      <w:r>
        <w:rPr/>
        <w:t>65</w:t>
      </w:r>
      <w:r>
        <w:rPr>
          <w:rtl w:val="true"/>
        </w:rPr>
        <w:t xml:space="preserve"> </w:t>
      </w:r>
      <w:r>
        <w:rPr>
          <w:rtl w:val="true"/>
        </w:rPr>
        <w:t>مليون سجل خاص</w:t>
      </w:r>
      <w:r>
        <w:rPr>
          <w:rtl w:val="true"/>
        </w:rPr>
        <w:t xml:space="preserve">. </w:t>
      </w:r>
      <w:r>
        <w:rPr>
          <w:rtl w:val="true"/>
        </w:rPr>
        <w:t xml:space="preserve">ويستعمل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عدّاد تصفح يومي في التجارة الإلكترونية</w:t>
      </w:r>
      <w:r>
        <w:rPr>
          <w:rtl w:val="true"/>
        </w:rPr>
        <w:t xml:space="preserve">. </w:t>
      </w:r>
      <w:r>
        <w:rPr>
          <w:rtl w:val="true"/>
        </w:rPr>
        <w:t xml:space="preserve">وفي المقابل، لا يقدّم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توصيفاً كمّياً لبياناتهما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طريقة التحويل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يقارن الجدول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بين الطرق في بُعدين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شفافية التحويل</w:t>
      </w:r>
      <w:r>
        <w:rPr>
          <w:rtl w:val="true"/>
        </w:rPr>
        <w:t>، و</w:t>
      </w:r>
      <w:r>
        <w:rPr>
          <w:b/>
          <w:b/>
          <w:bCs/>
          <w:rtl w:val="true"/>
        </w:rPr>
        <w:t>موضوع التقييم</w:t>
      </w:r>
      <w:r>
        <w:rPr>
          <w:rtl w:val="true"/>
        </w:rPr>
        <w:t>، أي هل قُيِّم الملف أم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طرق تحويل السلوك إلى ملف متعلم في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15"/>
        <w:gridCol w:w="3954"/>
        <w:gridCol w:w="967"/>
        <w:gridCol w:w="3251"/>
      </w:tblGrid>
      <w:tr>
        <w:trPr>
          <w:tblHeader w:val="true"/>
        </w:trPr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الشفافية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الذي قُيِّم وكيف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جاكار بين ملفات السلوك، ثم مصنّفات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بالإكمال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توصية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قواعد ضبابية لمستوى الاهتمام، ثم شجرة </w:t>
            </w:r>
            <w:r>
              <w:rPr>
                <w:kern w:val="0"/>
                <w:lang w:val="en-US" w:eastAsia="en-US" w:bidi="ar-SA"/>
              </w:rPr>
              <w:t>C4.5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تصنّف الطالب إلى ثلاثة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قبول التقنية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>؛ لا مقاييس ترتيب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موزون للإشارات، ثم تضبيب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fuzzification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خمسة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إعادة بناء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جاكار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أرقام في النص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انحدار ذاتي متجهي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احتمال التصفح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رسوم 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مُرمِّز ثنائي الاتجاه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تحليل بقاء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محوّل 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دمج اتحادي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0.394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تحفظ، 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متعدد الوسائط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مناسب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>غير مناسب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lang w:val="en-US" w:eastAsia="en-US" w:bidi="ar-SA"/>
              </w:rPr>
              <w:t>Acc = 90.34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وصف للنموذج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الطرق الشفافة </w:t>
      </w:r>
      <w:r>
        <w:rPr>
          <w:rtl w:val="true"/>
        </w:rPr>
        <w:t>([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]) </w:t>
      </w:r>
      <w:r>
        <w:rPr>
          <w:rtl w:val="true"/>
        </w:rPr>
        <w:t>قابلة للتفسير، وتعريف إشاراتها دقيق</w:t>
      </w:r>
      <w:r>
        <w:rPr>
          <w:rtl w:val="true"/>
        </w:rPr>
        <w:t xml:space="preserve">. </w:t>
      </w:r>
      <w:r>
        <w:rPr>
          <w:rtl w:val="true"/>
        </w:rPr>
        <w:t xml:space="preserve">لكنها قيّمت </w:t>
      </w:r>
      <w:r>
        <w:rPr>
          <w:b/>
          <w:b/>
          <w:bCs/>
          <w:rtl w:val="true"/>
        </w:rPr>
        <w:t>الملف أو قبول النظام</w:t>
      </w:r>
      <w:r>
        <w:rPr>
          <w:rtl w:val="true"/>
        </w:rPr>
        <w:t xml:space="preserve"> لا جودة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أما الطرق الكامنة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]) </w:t>
      </w:r>
      <w:r>
        <w:rPr>
          <w:rtl w:val="true"/>
        </w:rPr>
        <w:t>فتدّعي توصية أو تنبؤاً، لكن أدلتها ضعيفة أو غائبة</w:t>
      </w:r>
      <w:r>
        <w:rPr>
          <w:rtl w:val="true"/>
        </w:rPr>
        <w:t xml:space="preserve">: </w:t>
      </w:r>
      <w:r>
        <w:rPr>
          <w:rtl w:val="true"/>
        </w:rPr>
        <w:t xml:space="preserve">بيانات خاصة، أو غياب المقاييس، أو تحفظات القسم </w:t>
      </w:r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ولا ورقة تربط بين الأمرين، أي تبني ملفاً شفافاً من الإشارات ثم تقيس أثره في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يختبر أي مرجع </w:t>
      </w:r>
      <w:r>
        <w:rPr>
          <w:b/>
          <w:b/>
          <w:bCs/>
          <w:rtl w:val="true"/>
        </w:rPr>
        <w:t>أثر الإشارات السلوكية في جودة التوصية</w:t>
      </w:r>
      <w:r>
        <w:rPr>
          <w:rtl w:val="true"/>
        </w:rPr>
        <w:t xml:space="preserve"> بمقارنة مضبوطة، أي النموذج نفسه بالإشارات وبدونها</w:t>
      </w:r>
      <w:r>
        <w:rPr>
          <w:rtl w:val="true"/>
        </w:rPr>
        <w:t xml:space="preserve">. </w:t>
      </w:r>
      <w:r>
        <w:rPr>
          <w:rtl w:val="true"/>
        </w:rPr>
        <w:t>وكل البيانات في المحور خاصة أو غير موصوفة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أيضاً غياب أدبيات التنبؤ المبكر بالمتعلمين المعرّضين للخطر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عن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مع أنها صلب </w:t>
      </w:r>
      <w:r>
        <w:rPr/>
        <w:t>RQ4</w:t>
      </w:r>
      <w:r>
        <w:rPr>
          <w:rtl w:val="true"/>
        </w:rPr>
        <w:t>.</w:t>
      </w:r>
      <w:bookmarkEnd w:id="37"/>
    </w:p>
    <w:p>
      <w:pPr>
        <w:pStyle w:val="Heading2"/>
        <w:bidi w:val="1"/>
        <w:rPr/>
      </w:pPr>
      <w:bookmarkStart w:id="38" w:name="__RefHeading___Toc14968_277087200"/>
      <w:bookmarkStart w:id="39" w:name="X7f51177ea90ae592a1cb021022e0d52be2fa838"/>
      <w:bookmarkEnd w:id="3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): </w:t>
      </w:r>
      <w:r>
        <w:rPr>
          <w:rtl w:val="true"/>
        </w:rPr>
        <w:t>التصفية التعاونية والمحتوى والهجينة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أكبر محاور المجموعة </w:t>
      </w:r>
      <w:r>
        <w:rPr>
          <w:rtl w:val="true"/>
        </w:rPr>
        <w:t>(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مرجعاً</w:t>
      </w:r>
      <w:r>
        <w:rPr>
          <w:rtl w:val="true"/>
        </w:rPr>
        <w:t xml:space="preserve">). </w:t>
      </w:r>
      <w:r>
        <w:rPr>
          <w:rtl w:val="true"/>
        </w:rPr>
        <w:t xml:space="preserve">والنظام الهجين الذي يجمع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مع الملف هو التصميم الأكثر تكراراً فيه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40" w:name="__RefHeading___Toc14970_277087200"/>
      <w:bookmarkStart w:id="41" w:name="تحويل-الآثار-الضمنية-إلى-تفضيلات"/>
      <w:bookmarkEnd w:id="40"/>
      <w:r>
        <w:rPr/>
        <w:t>3.3.1</w:t>
      </w:r>
      <w:r>
        <w:rPr>
          <w:rtl w:val="true"/>
        </w:rPr>
        <w:t xml:space="preserve"> </w:t>
      </w:r>
      <w:r>
        <w:rPr>
          <w:rtl w:val="true"/>
        </w:rPr>
        <w:t>تحويل الآثار الضمنية إلى تفضيلات</w:t>
      </w:r>
    </w:p>
    <w:p>
      <w:pPr>
        <w:pStyle w:val="Normal"/>
        <w:bidi w:val="1"/>
        <w:rPr/>
      </w:pPr>
      <w:r>
        <w:rPr>
          <w:rtl w:val="true"/>
        </w:rPr>
        <w:t>تتفق عدة أوراق على أن الحلّ لندرة التقييمات الصريحة هو استنتاج التفضيل من الأفعال، لكنها تختلف في الطريقة</w:t>
      </w:r>
      <w:r>
        <w:rPr>
          <w:rtl w:val="true"/>
        </w:rPr>
        <w:t xml:space="preserve">. </w:t>
      </w:r>
      <w:r>
        <w:rPr>
          <w:rtl w:val="true"/>
        </w:rPr>
        <w:t xml:space="preserve">يقارن الجدول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بين طرق هذا المحور وبين أوراق من محاور أخرى تقترح ترجيحاً مماثلاً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طرائق تحويل السلوك المسجَّل إلى تفضيل ضمني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2088"/>
        <w:gridCol w:w="2002"/>
        <w:gridCol w:w="1653"/>
        <w:gridCol w:w="2437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الإشارات المحوَّلة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هل قيس أثر التحويل على الترتيب؟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المدة، التكرار، الإشارات المرجعية، مع تقييم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دالة تقدير اهتمام، ثم دمج موزون، ثم </w:t>
            </w:r>
            <w:r>
              <w:rPr>
                <w:kern w:val="0"/>
                <w:lang w:val="en-US" w:eastAsia="en-US" w:bidi="ar-SA"/>
              </w:rPr>
              <w:t>Pearson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K-means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وحدة واحدة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قيم ولّدتها الدالة نفسها، وخفض التناثر مثال توضيحي من 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الاستخدام، المواضيع، المسار، يوم الأسبوع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كلي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مجموع موزون لجاكار وجيب التمام وكندال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الاستخدام مستنتج من المراجعات والتقييمات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عبر تركيبات الأبعاد، دون أرقام في النص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إعجاب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تعليق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>، متابعة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إشارة مرجعية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جمع الأوزان، ثم مصفوفة، ثم </w:t>
            </w:r>
            <w:r>
              <w:rPr>
                <w:kern w:val="0"/>
                <w:lang w:val="en-US" w:eastAsia="en-US" w:bidi="ar-SA"/>
              </w:rPr>
              <w:t>SVD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مقالات شركة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قورن الهجين بمكوّنيه فقط، ومقاييسه غير متسقة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مشاهدة،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بدء،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إشارة مرجعية،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إكمال وحدة،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إكمال مسار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مع اضمحلال خطي بالأيام، ثم دمج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وقرب الرسم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Precision@k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خط أساس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أفعال الصفحة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تكبير، طباعة، حفظ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كل فعل إلى درجة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منتجاً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تجارة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الإكمال، زمن الانشغال، انحراف التقييم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مع اضمحلال أسّي، ثم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للترجيح؛ قيس أثر حلقة التغذية الراجعة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>، 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مشاهدة الفيديو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جهد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في حالة المُنقِّح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كترجيح مستقل؛ داخل </w:t>
            </w:r>
            <w:r>
              <w:rPr>
                <w:kern w:val="0"/>
                <w:lang w:val="en-US" w:eastAsia="en-US" w:bidi="ar-SA"/>
              </w:rPr>
              <w:t>HRL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الإكمال والدرجة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ثنائي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موجب إذا كان الإكمال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50%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والدرجة </w:t>
            </w:r>
            <w:r>
              <w:rPr>
                <w:kern w:val="0"/>
                <w:lang w:val="en-US" w:eastAsia="en-US" w:bidi="ar-SA"/>
              </w:rPr>
              <w:t>‎</w:t>
            </w:r>
            <w:r>
              <w:rPr>
                <w:kern w:val="0"/>
                <w:lang w:val="en-US" w:eastAsia="en-US" w:bidi="ar-SA"/>
              </w:rPr>
              <w:t>&gt;‎ 5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لا؛ تعريف للسوالب لا دليل على أثره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المخططات المقترحة متقاربة في منطقها، فهي تتدرج من أضعف الإشارات كالمشاهدة إلى أقواها كالإكمال أو الإشارة المرجعية، وقد يُضاف إليها اضمحلال زمني</w:t>
      </w:r>
      <w:r>
        <w:rPr>
          <w:rtl w:val="true"/>
        </w:rPr>
        <w:t xml:space="preserve">. </w:t>
      </w:r>
      <w:r>
        <w:rPr>
          <w:rtl w:val="true"/>
        </w:rPr>
        <w:t>لكنها تختلف في الأوزان دون تبرير تجريبي</w:t>
      </w:r>
      <w:r>
        <w:rPr>
          <w:rtl w:val="true"/>
        </w:rPr>
        <w:t xml:space="preserve">: </w:t>
      </w:r>
      <w:r>
        <w:rPr>
          <w:rtl w:val="true"/>
        </w:rPr>
        <w:t xml:space="preserve">يجعل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الإشارة المرجعية أعلى الأوزان، ويجعل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الإكمال فوقها</w:t>
      </w:r>
      <w:r>
        <w:rPr>
          <w:rtl w:val="true"/>
        </w:rPr>
        <w:t xml:space="preserve">. </w:t>
      </w:r>
      <w:r>
        <w:rPr>
          <w:rtl w:val="true"/>
        </w:rPr>
        <w:t xml:space="preserve">والأهم أن </w:t>
      </w:r>
      <w:r>
        <w:rPr>
          <w:b/>
          <w:b/>
          <w:bCs/>
          <w:rtl w:val="true"/>
        </w:rPr>
        <w:t>أي ورقة في المجموعة لم تقارن الترجيح بالتفاعل الثنائي على بيانات تعليمية عامة بمقاييس ترتيب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تقييمه دائري محتمل، 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بياناته غير تعليمية، 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بلا خط أساس،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بياناتهما اصطناعية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14972_277087200"/>
      <w:bookmarkStart w:id="43" w:name="الهجين-cf-مع-cbf-أو-الملف-أو-السمات"/>
      <w:bookmarkEnd w:id="42"/>
      <w:r>
        <w:rPr/>
        <w:t>3.3.2</w:t>
      </w:r>
      <w:r>
        <w:rPr>
          <w:rtl w:val="true"/>
        </w:rPr>
        <w:t xml:space="preserve"> </w:t>
      </w:r>
      <w:r>
        <w:rPr>
          <w:rtl w:val="true"/>
        </w:rPr>
        <w:t>الهجين</w:t>
      </w:r>
      <w:r>
        <w:rPr>
          <w:rtl w:val="true"/>
        </w:rPr>
        <w:t xml:space="preserve">: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الملف أو السمات</w:t>
      </w:r>
    </w:p>
    <w:p>
      <w:pPr>
        <w:pStyle w:val="Normal"/>
        <w:bidi w:val="1"/>
        <w:rPr/>
      </w:pPr>
      <w:r>
        <w:rPr>
          <w:rtl w:val="true"/>
        </w:rPr>
        <w:t xml:space="preserve">تتفق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أن الدمج يخفف عيوب كل أسلوب منفرداً</w:t>
      </w:r>
      <w:r>
        <w:rPr>
          <w:rtl w:val="true"/>
        </w:rPr>
        <w:t xml:space="preserve">. </w:t>
      </w:r>
      <w:r>
        <w:rPr>
          <w:rtl w:val="true"/>
        </w:rPr>
        <w:t>وتختلف في آلية الدمج وفي ما تكشفه نتائجها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آليات الدمج في الأنظمة الهجينة وما تكشفه نتائجها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84"/>
        <w:gridCol w:w="791"/>
        <w:gridCol w:w="2461"/>
        <w:gridCol w:w="3251"/>
      </w:tblGrid>
      <w:tr>
        <w:trPr>
          <w:tblHeader w:val="true"/>
        </w:trPr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الدمج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أورده المؤلفون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يكشفه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موزون بوزن ثابت </w:t>
            </w:r>
            <w:r>
              <w:rPr>
                <w:kern w:val="0"/>
                <w:lang w:val="en-US" w:eastAsia="en-US" w:bidi="ar-SA"/>
              </w:rPr>
              <w:t>0.5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1.52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95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تحسن على مكوّن داخلي فقط، و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موزون بأوزان عكسية للخطأ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Recall = 0.68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عميق منفرد أفضل في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0.17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خطي مع حدّ سلوكي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الأوزان والدالة غير مفصح عنها، والسلوك اصطناعي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 وأسرع زمناً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بالسمات للبدء البارد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خط أساس خارجي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أدلة 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عميلاً؛ لا أرقام دقة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تبديل بين متعلم جديد ونشط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فقط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ويُضاف إليها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وهو معمارية مفاهيمية جُرّبت على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مستخدماً؛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وهو هجين عشوائي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بمستخدم مُحاكى؛ و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الذي يجمع تعدين استخدام الويب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وخوارزمية جينية، ببيانات غير مسمّاة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حيث قورن الهجين بمكوّناته الداخلية بدا أفضل </w:t>
      </w:r>
      <w:r>
        <w:rPr>
          <w:rtl w:val="true"/>
        </w:rPr>
        <w:t>([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]). </w:t>
      </w:r>
      <w:r>
        <w:rPr>
          <w:rtl w:val="true"/>
        </w:rPr>
        <w:t xml:space="preserve">وحيث قورن بطريقة كلاسيكية منفردة، كانت النتيجة لصالح الطريقة المنفردة أو متقاربة </w:t>
      </w:r>
      <w:r>
        <w:rPr>
          <w:rtl w:val="true"/>
        </w:rPr>
        <w:t>([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]). </w:t>
      </w:r>
      <w:r>
        <w:rPr>
          <w:rtl w:val="true"/>
        </w:rPr>
        <w:t>أي أن الاتجاه يتبع طبيعة المقارنة لا الأسلوب نفسه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14974_277087200"/>
      <w:bookmarkStart w:id="45" w:name="X2656830e94ca179951fefea3703786ac17c78e4"/>
      <w:bookmarkEnd w:id="44"/>
      <w:r>
        <w:rPr/>
        <w:t>3.3.3</w:t>
      </w:r>
      <w:r>
        <w:rPr>
          <w:rtl w:val="true"/>
        </w:rPr>
        <w:t xml:space="preserve">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القائم على النموذج على كتالوجات المقررات</w:t>
      </w:r>
    </w:p>
    <w:p>
      <w:pPr>
        <w:pStyle w:val="Normal"/>
        <w:bidi w:val="1"/>
        <w:rPr/>
      </w:pP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ستة نماذج، وأورد المؤلفون </w:t>
      </w:r>
      <w:r>
        <w:rPr/>
        <w:t>NDCG@20 = 0.8721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SVD</w:t>
      </w:r>
      <w:r>
        <w:rPr>
          <w:rtl w:val="true"/>
        </w:rPr>
        <w:t xml:space="preserve">. </w:t>
      </w:r>
      <w:r>
        <w:rPr>
          <w:rtl w:val="true"/>
        </w:rPr>
        <w:t xml:space="preserve">لكن بياناته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Coursera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كتالوجات مقررات</w:t>
      </w:r>
      <w:r>
        <w:rPr>
          <w:rtl w:val="true"/>
        </w:rPr>
        <w:t xml:space="preserve"> على مستوى المقرر، لا سجلات متعلمين</w:t>
      </w:r>
      <w:r>
        <w:rPr>
          <w:rtl w:val="true"/>
        </w:rPr>
        <w:t xml:space="preserve">. </w:t>
      </w:r>
      <w:r>
        <w:rPr>
          <w:rtl w:val="true"/>
        </w:rPr>
        <w:t xml:space="preserve">فالتوصية صيغت فيه انحداراً على تقييم المقرر، وهذا لا يحاكي توصية </w:t>
      </w:r>
      <w:r>
        <w:rPr/>
        <w:t>Top-K</w:t>
      </w:r>
      <w:r>
        <w:rPr>
          <w:rtl w:val="true"/>
        </w:rPr>
        <w:t xml:space="preserve"> </w:t>
      </w:r>
      <w:r>
        <w:rPr>
          <w:rtl w:val="true"/>
        </w:rPr>
        <w:t>لمتعلم بعينه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14976_277087200"/>
      <w:bookmarkStart w:id="47" w:name="الفجوة-داخل-المحور"/>
      <w:bookmarkEnd w:id="46"/>
      <w:r>
        <w:rPr/>
        <w:t>3.3.4</w:t>
      </w:r>
      <w:r>
        <w:rPr>
          <w:rtl w:val="true"/>
        </w:rPr>
        <w:t xml:space="preserve"> </w:t>
      </w:r>
      <w:r>
        <w:rPr>
          <w:rtl w:val="true"/>
        </w:rPr>
        <w:t>الفجوة داخل المحور</w:t>
      </w:r>
    </w:p>
    <w:p>
      <w:pPr>
        <w:pStyle w:val="Normal"/>
        <w:bidi w:val="1"/>
        <w:rPr/>
      </w:pPr>
      <w:r>
        <w:rPr>
          <w:rtl w:val="true"/>
        </w:rPr>
        <w:t xml:space="preserve">يجمع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وحده في هذا المحور أربعة عناصر</w:t>
      </w:r>
      <w:r>
        <w:rPr>
          <w:rtl w:val="true"/>
        </w:rPr>
        <w:t xml:space="preserve">: </w:t>
      </w:r>
      <w:r>
        <w:rPr>
          <w:rtl w:val="true"/>
        </w:rPr>
        <w:t xml:space="preserve">بيانات تفاعل متوسطة الحجم، ومقياس ترتيب، واختبار دلالة، ومقارنة بخطوط أساس معروفة </w:t>
      </w:r>
      <w:r>
        <w:rPr>
          <w:rtl w:val="true"/>
        </w:rPr>
        <w:t>(</w:t>
      </w:r>
      <w:r>
        <w:rPr/>
        <w:t>user-kNN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ALS</w:t>
      </w:r>
      <w:r>
        <w:rPr>
          <w:rtl w:val="true"/>
        </w:rPr>
        <w:t xml:space="preserve">). </w:t>
      </w:r>
      <w:r>
        <w:rPr>
          <w:rtl w:val="true"/>
        </w:rPr>
        <w:t>لكن أرقامه لا ترد في النص، وبيانات الاستخدام فيه مستنتجة من المراجعات والتقييمات على منصة تعلّم غير رسمي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الهجين البسيط مع الترجيح الضمني مقترح كثيراً في المحور، لكنه لم يُختبر اختباراً مضبوطاً</w:t>
      </w:r>
      <w:r>
        <w:rPr>
          <w:rtl w:val="true"/>
        </w:rPr>
        <w:t>.</w:t>
      </w:r>
      <w:bookmarkEnd w:id="39"/>
      <w:bookmarkEnd w:id="47"/>
    </w:p>
    <w:p>
      <w:pPr>
        <w:pStyle w:val="Heading2"/>
        <w:bidi w:val="1"/>
        <w:rPr/>
      </w:pPr>
      <w:bookmarkStart w:id="48" w:name="__RefHeading___Toc14978_277087200"/>
      <w:bookmarkStart w:id="49" w:name="المحور-ج-النماذج-التسلسلية-والعميقة"/>
      <w:bookmarkEnd w:id="48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): </w:t>
      </w:r>
      <w:r>
        <w:rPr>
          <w:rtl w:val="true"/>
        </w:rPr>
        <w:t>النماذج التسلسلية والعميقة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</w:t>
      </w:r>
      <w:r>
        <w:rPr>
          <w:b/>
          <w:b/>
          <w:bCs/>
          <w:rtl w:val="true"/>
        </w:rPr>
        <w:t>أكثر محاور المجموعة استعمالاً لبيانات عامة ومقاييس ترتيب</w:t>
      </w:r>
      <w:r>
        <w:rPr>
          <w:rtl w:val="true"/>
        </w:rPr>
        <w:t xml:space="preserve">، مع أن أوراقه لا تخلو من العيوب الموثّقة في القسم </w:t>
      </w:r>
      <w:r>
        <w:rPr/>
        <w:t>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الشبه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تتعامل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مع تاريخ المستخدم </w:t>
      </w:r>
      <w:r>
        <w:rPr>
          <w:b/>
          <w:b/>
          <w:bCs/>
          <w:rtl w:val="true"/>
        </w:rPr>
        <w:t>تسلسلاً مرتباً زمنياً</w:t>
      </w:r>
      <w:r>
        <w:rPr>
          <w:rtl w:val="true"/>
        </w:rPr>
        <w:t xml:space="preserve">، وتقيّم بمقاييس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P@K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فنموذج عميق للمحتوى على كتب أدبية، ويُذكر هنا للمقارنة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الاختلاف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تختلف الأوراق في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14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15"/>
        </w:numPr>
        <w:bidi w:val="1"/>
        <w:rPr/>
      </w:pPr>
      <w:r>
        <w:rPr>
          <w:rtl w:val="true"/>
        </w:rPr>
        <w:t xml:space="preserve">تشترك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في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(</w:t>
      </w:r>
      <w:r>
        <w:rPr>
          <w:rtl w:val="true"/>
        </w:rPr>
        <w:t>المحور د</w:t>
      </w:r>
      <w:r>
        <w:rPr>
          <w:rtl w:val="true"/>
        </w:rPr>
        <w:t xml:space="preserve">). </w:t>
      </w:r>
      <w:r>
        <w:rPr>
          <w:rtl w:val="true"/>
        </w:rPr>
        <w:t xml:space="preserve">وأحجام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تكاد تطابق أحجام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>، وسبب الفرق بوحدة واحدة غير مذكور</w:t>
      </w:r>
      <w:r>
        <w:rPr>
          <w:rtl w:val="true"/>
        </w:rPr>
        <w:t>.</w:t>
      </w:r>
    </w:p>
    <w:p>
      <w:pPr>
        <w:pStyle w:val="Compact"/>
        <w:numPr>
          <w:ilvl w:val="1"/>
          <w:numId w:val="116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وحدة واحدة من </w:t>
      </w:r>
      <w:r>
        <w:rPr/>
        <w:t>OULAD</w:t>
      </w:r>
      <w:r>
        <w:rPr>
          <w:rtl w:val="true"/>
        </w:rPr>
        <w:t xml:space="preserve">: </w:t>
      </w:r>
      <w:r>
        <w:rPr>
          <w:rtl w:val="true"/>
        </w:rPr>
        <w:t xml:space="preserve">الوحدة </w:t>
      </w:r>
      <w:r>
        <w:rPr/>
        <w:t>BBB</w:t>
      </w:r>
      <w:r>
        <w:rPr>
          <w:rtl w:val="true"/>
        </w:rPr>
        <w:t xml:space="preserve"> </w:t>
      </w:r>
      <w:r>
        <w:rPr>
          <w:rtl w:val="true"/>
        </w:rPr>
        <w:t xml:space="preserve">في الفصل </w:t>
      </w:r>
      <w:r>
        <w:rPr/>
        <w:t>2013J</w:t>
      </w:r>
      <w:r>
        <w:rPr>
          <w:rtl w:val="true"/>
        </w:rPr>
        <w:t xml:space="preserve">، بـ </w:t>
      </w:r>
      <w:r>
        <w:rPr/>
        <w:t>1,777</w:t>
      </w:r>
      <w:r>
        <w:rPr>
          <w:rtl w:val="true"/>
        </w:rPr>
        <w:t xml:space="preserve"> </w:t>
      </w:r>
      <w:r>
        <w:rPr>
          <w:rtl w:val="true"/>
        </w:rPr>
        <w:t>طالباً و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17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بيانات </w:t>
      </w:r>
      <w:r>
        <w:rPr/>
        <w:t>500</w:t>
      </w:r>
      <w:r>
        <w:rPr>
          <w:rtl w:val="true"/>
        </w:rPr>
        <w:t xml:space="preserve"> </w:t>
      </w:r>
      <w:r>
        <w:rPr>
          <w:rtl w:val="true"/>
        </w:rPr>
        <w:t>متعلم لا تتاح إلا عند الطلب، و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بيانات استماع موسيقي</w:t>
      </w:r>
      <w:r>
        <w:rPr>
          <w:rtl w:val="true"/>
        </w:rPr>
        <w:t>.</w:t>
      </w:r>
    </w:p>
    <w:p>
      <w:pPr>
        <w:pStyle w:val="Compact"/>
        <w:numPr>
          <w:ilvl w:val="0"/>
          <w:numId w:val="118"/>
        </w:numPr>
        <w:bidi w:val="1"/>
        <w:rPr/>
      </w:pPr>
      <w:r>
        <w:rPr>
          <w:b/>
          <w:b/>
          <w:bCs/>
          <w:rtl w:val="true"/>
        </w:rPr>
        <w:t>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يكتفي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بتسلسل معرّفات المقررات أو التفاعل الثنائي، رغم أن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يصف 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بأنها تحوي سجلات النقر ومدة التعلم</w:t>
      </w:r>
      <w:r>
        <w:rPr>
          <w:rtl w:val="true"/>
        </w:rPr>
        <w:t xml:space="preserve">. </w:t>
      </w:r>
      <w:r>
        <w:rPr>
          <w:rtl w:val="true"/>
        </w:rPr>
        <w:t xml:space="preserve">ويضيف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الإكمال والدرجة لتعريف </w:t>
      </w:r>
      <w:r>
        <w:rPr>
          <w:rtl w:val="true"/>
        </w:rPr>
        <w:t>«</w:t>
      </w:r>
      <w:r>
        <w:rPr>
          <w:rtl w:val="true"/>
        </w:rPr>
        <w:t>التسلسل السالب</w:t>
      </w:r>
      <w:r>
        <w:rPr>
          <w:rtl w:val="true"/>
        </w:rPr>
        <w:t xml:space="preserve">». </w:t>
      </w:r>
      <w:r>
        <w:rPr>
          <w:rtl w:val="true"/>
        </w:rPr>
        <w:t xml:space="preserve">ويستخلص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ميزات النقر والإكمال والتقييم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19"/>
        </w:numPr>
        <w:bidi w:val="1"/>
        <w:rPr/>
      </w:pPr>
      <w:r>
        <w:rPr>
          <w:b/>
          <w:b/>
          <w:bCs/>
          <w:rtl w:val="true"/>
        </w:rPr>
        <w:t>البنية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بنمط </w:t>
      </w:r>
      <w:r>
        <w:rPr/>
        <w:t>GRU4Rec [1]</w:t>
      </w:r>
      <w:r>
        <w:rPr>
          <w:rtl w:val="true"/>
        </w:rPr>
        <w:t xml:space="preserve">؛ </w:t>
      </w:r>
      <w:r>
        <w:rPr/>
        <w:t>CNN</w:t>
      </w:r>
      <w:r>
        <w:rPr>
          <w:rtl w:val="true"/>
        </w:rPr>
        <w:t xml:space="preserve"> </w:t>
      </w:r>
      <w:r>
        <w:rPr>
          <w:rtl w:val="true"/>
        </w:rPr>
        <w:t xml:space="preserve">بنافذة منزلقة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؛ </w:t>
      </w:r>
      <w:r>
        <w:rPr/>
        <w:t>NCF</w:t>
      </w:r>
      <w:r>
        <w:rPr>
          <w:rtl w:val="true"/>
        </w:rPr>
        <w:t xml:space="preserve"> </w:t>
      </w:r>
      <w:r>
        <w:rPr>
          <w:rtl w:val="true"/>
        </w:rPr>
        <w:t xml:space="preserve">مع انتباه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؛ محوّل مع تحويل فورييه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؛ دمج </w:t>
      </w:r>
      <w:r>
        <w:rPr/>
        <w:t>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بأوزان من </w:t>
      </w:r>
      <w:r>
        <w:rPr/>
        <w:t>Q-learning [20]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النتائج كما أوردها المؤلفون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يجمع الجدول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 xml:space="preserve">نتائج المراجع التي تستعمل عائلة </w:t>
      </w:r>
      <w:r>
        <w:rPr/>
        <w:t>XuetangX/MOOCCube</w:t>
      </w:r>
      <w:r>
        <w:rPr>
          <w:rtl w:val="true"/>
        </w:rPr>
        <w:t xml:space="preserve">. </w:t>
      </w:r>
      <w:r>
        <w:rPr>
          <w:rtl w:val="true"/>
        </w:rPr>
        <w:t xml:space="preserve">حُوّلت نسب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المئوية إلى كسور لتوحيد العرض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نتائج على بيانات </w:t>
      </w:r>
      <w:r>
        <w:rPr>
          <w:b/>
          <w:bCs/>
        </w:rPr>
        <w:t>XuetangX/MOOCCube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كما أوردها المؤلفون، مع البروتوكول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1230"/>
        <w:gridCol w:w="966"/>
        <w:gridCol w:w="1143"/>
        <w:gridCol w:w="2197"/>
        <w:gridCol w:w="2285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HR@10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NDCG@10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أقوى خط أساس مُبلَّغ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HR@10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0.7968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0.5069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زمني؛ عنصر 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NASR: 0.6948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NAIS: 0.6905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GRU: 0.6863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HRL+NASR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0.7450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0.5273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NCF-MAH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0.662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0.405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 عشوائية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MLP: 0.612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FTHAN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0.2618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يُصرَّح به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LightSANs: 0.4528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نتيجة مقارنة مهمة لأنه أعاد تنفيذ سبعة خطوط أساس على </w:t>
      </w:r>
      <w:r>
        <w:rPr/>
        <w:t>OULAD</w:t>
      </w:r>
      <w:r>
        <w:rPr>
          <w:rtl w:val="true"/>
        </w:rPr>
        <w:t>، بالترتيب على الكتالوج الكامل</w:t>
      </w:r>
      <w:r>
        <w:rPr>
          <w:rtl w:val="true"/>
        </w:rPr>
        <w:t xml:space="preserve">. </w:t>
      </w:r>
      <w:r>
        <w:rPr>
          <w:rtl w:val="true"/>
        </w:rPr>
        <w:t xml:space="preserve">أورد المؤلفون قيم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120"/>
        </w:numPr>
        <w:bidi w:val="1"/>
        <w:rPr/>
      </w:pPr>
      <w:r>
        <w:rPr>
          <w:rtl w:val="true"/>
        </w:rPr>
        <w:t>النموذج الهجين المقترح</w:t>
      </w:r>
      <w:r>
        <w:rPr>
          <w:rtl w:val="true"/>
        </w:rPr>
        <w:t xml:space="preserve">: </w:t>
      </w:r>
      <w:r>
        <w:rPr/>
        <w:t>0.748</w:t>
      </w:r>
      <w:r>
        <w:rPr>
          <w:rtl w:val="true"/>
        </w:rPr>
        <w:t>.</w:t>
      </w:r>
    </w:p>
    <w:p>
      <w:pPr>
        <w:pStyle w:val="Compact"/>
        <w:numPr>
          <w:ilvl w:val="0"/>
          <w:numId w:val="121"/>
        </w:numPr>
        <w:bidi w:val="1"/>
        <w:rPr/>
      </w:pPr>
      <w:r>
        <w:rPr/>
        <w:t>SASRec</w:t>
      </w:r>
      <w:r>
        <w:rPr>
          <w:rtl w:val="true"/>
        </w:rPr>
        <w:t>: ‏</w:t>
      </w:r>
      <w:r>
        <w:rPr/>
        <w:t>0.841</w:t>
      </w:r>
      <w:r>
        <w:rPr>
          <w:rtl w:val="true"/>
        </w:rPr>
        <w:t>.</w:t>
      </w:r>
    </w:p>
    <w:p>
      <w:pPr>
        <w:pStyle w:val="Compact"/>
        <w:numPr>
          <w:ilvl w:val="0"/>
          <w:numId w:val="122"/>
        </w:numPr>
        <w:bidi w:val="1"/>
        <w:rPr/>
      </w:pPr>
      <w:r>
        <w:rPr/>
        <w:t>GRU4Rec</w:t>
      </w:r>
      <w:r>
        <w:rPr>
          <w:rtl w:val="true"/>
        </w:rPr>
        <w:t>: ‏</w:t>
      </w:r>
      <w:r>
        <w:rPr/>
        <w:t>0.832</w:t>
      </w:r>
      <w:r>
        <w:rPr>
          <w:rtl w:val="true"/>
        </w:rPr>
        <w:t>.</w:t>
      </w:r>
    </w:p>
    <w:p>
      <w:pPr>
        <w:pStyle w:val="Compact"/>
        <w:numPr>
          <w:ilvl w:val="0"/>
          <w:numId w:val="123"/>
        </w:numPr>
        <w:bidi w:val="1"/>
        <w:rPr/>
      </w:pPr>
      <w:r>
        <w:rPr>
          <w:rtl w:val="true"/>
        </w:rPr>
        <w:t>الشعبية</w:t>
      </w:r>
      <w:r>
        <w:rPr>
          <w:rtl w:val="true"/>
        </w:rPr>
        <w:t xml:space="preserve">: </w:t>
      </w:r>
      <w:r>
        <w:rPr/>
        <w:t>0.819</w:t>
      </w:r>
      <w:r>
        <w:rPr>
          <w:rtl w:val="true"/>
        </w:rPr>
        <w:t>.</w:t>
      </w:r>
    </w:p>
    <w:p>
      <w:pPr>
        <w:pStyle w:val="Compact"/>
        <w:numPr>
          <w:ilvl w:val="0"/>
          <w:numId w:val="124"/>
        </w:numPr>
        <w:bidi w:val="1"/>
        <w:rPr/>
      </w:pPr>
      <w:r>
        <w:rPr/>
        <w:t>Item-CF</w:t>
      </w:r>
      <w:r>
        <w:rPr>
          <w:rtl w:val="true"/>
        </w:rPr>
        <w:t>: ‏</w:t>
      </w:r>
      <w:r>
        <w:rPr/>
        <w:t>0.552</w:t>
      </w:r>
      <w:r>
        <w:rPr>
          <w:rtl w:val="true"/>
        </w:rPr>
        <w:t>.</w:t>
      </w:r>
    </w:p>
    <w:p>
      <w:pPr>
        <w:pStyle w:val="Compact"/>
        <w:numPr>
          <w:ilvl w:val="0"/>
          <w:numId w:val="125"/>
        </w:numPr>
        <w:bidi w:val="1"/>
        <w:rPr/>
      </w:pPr>
      <w:r>
        <w:rPr/>
        <w:t>CBF</w:t>
      </w:r>
      <w:r>
        <w:rPr>
          <w:rtl w:val="true"/>
        </w:rPr>
        <w:t>: ‏</w:t>
      </w:r>
      <w:r>
        <w:rPr/>
        <w:t>0.253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أي أن النموذج المقترح </w:t>
      </w:r>
      <w:r>
        <w:rPr>
          <w:b/>
          <w:b/>
          <w:bCs/>
          <w:rtl w:val="true"/>
        </w:rPr>
        <w:t>لم يتفوق على خط أساس الشعبية</w:t>
      </w:r>
      <w:r>
        <w:rPr>
          <w:rtl w:val="true"/>
        </w:rPr>
        <w:t>، وصرّح المؤلفون بأنهم لا يدّعون التفوق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الفارق بين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والشعبية صغير </w:t>
      </w:r>
      <w:r>
        <w:rPr>
          <w:rtl w:val="true"/>
        </w:rPr>
        <w:t>(</w:t>
      </w:r>
      <w:r>
        <w:rPr/>
        <w:t>0.013</w:t>
      </w:r>
      <w:r>
        <w:rPr>
          <w:rtl w:val="true"/>
        </w:rPr>
        <w:t>، حساب الباحث</w:t>
      </w:r>
      <w:r>
        <w:rPr>
          <w:rtl w:val="true"/>
        </w:rPr>
        <w:t>)</w:t>
      </w:r>
      <w:r>
        <w:rPr>
          <w:rtl w:val="true"/>
        </w:rPr>
        <w:t xml:space="preserve">، وأن خطوط الأساس أُعيد تنفيذها بتضمين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وثلاث دورات تدريب </w:t>
      </w:r>
      <w:r>
        <w:rPr>
          <w:rtl w:val="true"/>
        </w:rPr>
        <w:t>(</w:t>
      </w:r>
      <w:r>
        <w:rPr/>
        <w:t>epochs</w:t>
      </w:r>
      <w:r>
        <w:rPr>
          <w:rtl w:val="true"/>
        </w:rPr>
        <w:t xml:space="preserve">) </w:t>
      </w:r>
      <w:r>
        <w:rPr>
          <w:rtl w:val="true"/>
        </w:rPr>
        <w:t>فقط على وحدة المعالجة المركزية</w:t>
      </w:r>
      <w:r>
        <w:rPr>
          <w:rtl w:val="true"/>
        </w:rPr>
        <w:t xml:space="preserve">. </w:t>
      </w:r>
      <w:r>
        <w:rPr>
          <w:rtl w:val="true"/>
        </w:rPr>
        <w:t xml:space="preserve">أما دقة </w:t>
      </w:r>
      <w:r>
        <w:rPr/>
        <w:t>92.8</w:t>
      </w:r>
      <w:r>
        <w:rPr>
          <w:rtl w:val="true"/>
        </w:rPr>
        <w:t xml:space="preserve">% </w:t>
      </w:r>
      <w:r>
        <w:rPr>
          <w:rtl w:val="true"/>
        </w:rPr>
        <w:t xml:space="preserve">في ملخص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فتخص تصنيفاً على 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سجلاً اصطناعياً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تحليل </w:t>
      </w:r>
      <w:r>
        <w:rPr/>
        <w:t>SHAP</w:t>
      </w:r>
      <w:r>
        <w:rPr>
          <w:rtl w:val="true"/>
        </w:rPr>
        <w:t xml:space="preserve"> </w:t>
      </w:r>
      <w:r>
        <w:rPr>
          <w:rtl w:val="true"/>
        </w:rPr>
        <w:t xml:space="preserve">جاء فيه معدل الإكمال أهمَّ ميزة </w:t>
      </w:r>
      <w:r>
        <w:rPr>
          <w:rtl w:val="true"/>
        </w:rPr>
        <w:t>(</w:t>
      </w:r>
      <w:r>
        <w:rPr>
          <w:rtl w:val="true"/>
        </w:rPr>
        <w:t xml:space="preserve">متوسط </w:t>
      </w:r>
      <w:r>
        <w:rPr>
          <w:rtl w:val="true"/>
        </w:rPr>
        <w:t>|</w:t>
      </w:r>
      <w:r>
        <w:rPr/>
        <w:t>SHAP| = 2.810</w:t>
      </w:r>
      <w:r>
        <w:rPr>
          <w:rtl w:val="true"/>
        </w:rPr>
        <w:t>)</w:t>
      </w:r>
      <w:r>
        <w:rPr>
          <w:rtl w:val="true"/>
        </w:rPr>
        <w:t xml:space="preserve">، ثم درجة الاختبار </w:t>
      </w:r>
      <w:r>
        <w:rPr>
          <w:rtl w:val="true"/>
        </w:rPr>
        <w:t>(</w:t>
      </w:r>
      <w:r>
        <w:rPr/>
        <w:t>0.618</w:t>
      </w:r>
      <w:r>
        <w:rPr>
          <w:rtl w:val="true"/>
        </w:rPr>
        <w:t>)</w:t>
      </w:r>
      <w:r>
        <w:rPr>
          <w:rtl w:val="true"/>
        </w:rPr>
        <w:t xml:space="preserve">، ثم مجموع النقرات </w:t>
      </w:r>
      <w:r>
        <w:rPr>
          <w:rtl w:val="true"/>
        </w:rPr>
        <w:t>(</w:t>
      </w:r>
      <w:r>
        <w:rPr/>
        <w:t>0.368</w:t>
      </w:r>
      <w:r>
        <w:rPr>
          <w:rtl w:val="true"/>
        </w:rPr>
        <w:t xml:space="preserve">).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 xml:space="preserve">هذا التحليل يخص مصنِّفاً بديلاً </w:t>
      </w:r>
      <w:r>
        <w:rPr>
          <w:b/>
          <w:bCs/>
          <w:rtl w:val="true"/>
        </w:rPr>
        <w:t>(</w:t>
      </w:r>
      <w:r>
        <w:rPr>
          <w:b/>
          <w:bCs/>
        </w:rPr>
        <w:t>surrogate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يتنبأ بنجاح الطالب أو رسوبه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دقة </w:t>
      </w:r>
      <w:r>
        <w:rPr/>
        <w:t>89.6</w:t>
      </w:r>
      <w:r>
        <w:rPr>
          <w:rtl w:val="true"/>
        </w:rPr>
        <w:t>%)</w:t>
      </w:r>
      <w:r>
        <w:rPr>
          <w:rtl w:val="true"/>
        </w:rPr>
        <w:t>، لا نموذج التوصية</w:t>
      </w:r>
      <w:r>
        <w:rPr>
          <w:rtl w:val="true"/>
        </w:rPr>
        <w:t xml:space="preserve">. </w:t>
      </w:r>
      <w:r>
        <w:rPr>
          <w:rtl w:val="true"/>
        </w:rPr>
        <w:t>فهو يدل على ارتباط الإكمال بالنتيجة النهائية، لا على أهمية الإكمال في جودة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تتضح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26"/>
        </w:numPr>
        <w:bidi w:val="1"/>
        <w:rPr/>
      </w:pPr>
      <w:r>
        <w:rPr>
          <w:b/>
          <w:b/>
          <w:bCs/>
          <w:rtl w:val="true"/>
        </w:rPr>
        <w:t>المقارنة بين التسلسلي وغير التسلسلي غير محسومة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1"/>
          <w:numId w:val="127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التسلسلي </w:t>
      </w:r>
      <w:r>
        <w:rPr>
          <w:rtl w:val="true"/>
        </w:rPr>
        <w:t>(</w:t>
      </w:r>
      <w:r>
        <w:rPr/>
        <w:t>0.6863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أدنى</w:t>
      </w:r>
      <w:r>
        <w:rPr>
          <w:rtl w:val="true"/>
        </w:rPr>
        <w:t xml:space="preserve"> من </w:t>
      </w:r>
      <w:r>
        <w:rPr/>
        <w:t>NAIS (0.6905)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التسلسلي، وتفوّق على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1"/>
          <w:numId w:val="128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29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 xml:space="preserve">تفوّقت طرائق الجيران الجلسية على </w:t>
      </w:r>
      <w:r>
        <w:rPr/>
        <w:t>RNN</w:t>
      </w:r>
      <w:r>
        <w:rPr>
          <w:rtl w:val="true"/>
        </w:rPr>
        <w:t>.</w:t>
      </w:r>
    </w:p>
    <w:p>
      <w:pPr>
        <w:pStyle w:val="Compact"/>
        <w:numPr>
          <w:ilvl w:val="1"/>
          <w:numId w:val="130"/>
        </w:numPr>
        <w:bidi w:val="1"/>
        <w:rPr/>
      </w:pPr>
      <w:r>
        <w:rPr>
          <w:rtl w:val="true"/>
        </w:rPr>
        <w:t xml:space="preserve">وتشير أعمال خارج المجموعة إلى نتيجة مماثلة في التوصية بالجلسة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131"/>
        </w:numPr>
        <w:bidi w:val="1"/>
        <w:rPr/>
      </w:pPr>
      <w:r>
        <w:rPr>
          <w:b/>
          <w:b/>
          <w:bCs/>
          <w:rtl w:val="true"/>
        </w:rPr>
        <w:t>الإشارات الغنية في البيانات العامة نادراً ما تُستعمل في التوصية نفسها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فأكثر الأوراق يكتفي بالترتيب أو التسجيل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132"/>
        </w:numPr>
        <w:bidi w:val="1"/>
        <w:rPr/>
      </w:pPr>
      <w:r>
        <w:rPr>
          <w:b/>
          <w:b/>
          <w:bCs/>
          <w:rtl w:val="true"/>
        </w:rPr>
        <w:t>لا يجمع أي مرجع التقسيم الزمني والترتيب على الكتالوج الكامل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زمني لكنه يعتمد عيّنة سوالب،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يرتّب على الكتالوج الكامل لكنه يعتمد ترك العنصر الأخير، والمرجع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لم يُصرّح</w:t>
      </w:r>
      <w:r>
        <w:rPr>
          <w:rtl w:val="true"/>
        </w:rPr>
        <w:t>.</w:t>
      </w:r>
      <w:bookmarkEnd w:id="49"/>
    </w:p>
    <w:p>
      <w:pPr>
        <w:pStyle w:val="Heading2"/>
        <w:bidi w:val="1"/>
        <w:rPr/>
      </w:pPr>
      <w:bookmarkStart w:id="50" w:name="__RefHeading___Toc14980_277087200"/>
      <w:bookmarkStart w:id="51" w:name="X0055f5f6ee08050362ba21c615e2e629ea9a9d5"/>
      <w:bookmarkEnd w:id="50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د</w:t>
      </w:r>
      <w:r>
        <w:rPr>
          <w:rtl w:val="true"/>
        </w:rPr>
        <w:t xml:space="preserve">): </w:t>
      </w:r>
      <w:r>
        <w:rPr>
          <w:rtl w:val="true"/>
        </w:rPr>
        <w:t>الرسوم البيانية والمعرفية والتعلم المعزّز وقطّاع الطرق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الرسوم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 xml:space="preserve">على أن </w:t>
      </w:r>
      <w:r>
        <w:rPr>
          <w:b/>
          <w:b/>
          <w:bCs/>
          <w:rtl w:val="true"/>
        </w:rPr>
        <w:t>بنية المحتوى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الاعتماديات والمفاهيم</w:t>
      </w:r>
      <w:r>
        <w:rPr>
          <w:rtl w:val="true"/>
        </w:rPr>
        <w:t xml:space="preserve">) </w:t>
      </w:r>
      <w:r>
        <w:rPr>
          <w:rtl w:val="true"/>
        </w:rPr>
        <w:t>تحسّن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ويصرّح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 xml:space="preserve">بأن جودة التوصية </w:t>
      </w:r>
      <w:r>
        <w:rPr>
          <w:rtl w:val="true"/>
        </w:rPr>
        <w:t>«</w:t>
      </w:r>
      <w:r>
        <w:rPr>
          <w:rtl w:val="true"/>
        </w:rPr>
        <w:t>لا تعتمد على منطق الخوارزمية وحده بل على اتساع رسم المحتوى ودقته الدلالية</w:t>
      </w:r>
      <w:r>
        <w:rPr>
          <w:rtl w:val="true"/>
        </w:rPr>
        <w:t xml:space="preserve">». </w:t>
      </w:r>
      <w:r>
        <w:rPr>
          <w:rtl w:val="true"/>
        </w:rPr>
        <w:t>لكن قوة الدليل تتفاوت تفاوتاً كبيراً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33"/>
        </w:numPr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(✅) </w:t>
      </w:r>
      <w:r>
        <w:rPr>
          <w:rtl w:val="true"/>
        </w:rPr>
        <w:t xml:space="preserve">قارن بخط أساس واحد هو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الجماعي، ولم ترد أرقامه في النص المستخرج</w:t>
      </w:r>
      <w:r>
        <w:rPr>
          <w:rtl w:val="true"/>
        </w:rPr>
        <w:t>.</w:t>
      </w:r>
    </w:p>
    <w:p>
      <w:pPr>
        <w:pStyle w:val="Compact"/>
        <w:numPr>
          <w:ilvl w:val="0"/>
          <w:numId w:val="134"/>
        </w:numPr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قيّم بعشرة طلاب دون خط أساس</w:t>
      </w:r>
      <w:r>
        <w:rPr>
          <w:rtl w:val="true"/>
        </w:rPr>
        <w:t>.</w:t>
      </w:r>
    </w:p>
    <w:p>
      <w:pPr>
        <w:pStyle w:val="Compact"/>
        <w:numPr>
          <w:ilvl w:val="0"/>
          <w:numId w:val="135"/>
        </w:numPr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(⚠️) </w:t>
      </w:r>
      <w:r>
        <w:rPr>
          <w:rtl w:val="true"/>
        </w:rPr>
        <w:t xml:space="preserve">بنى نتيجته </w:t>
      </w:r>
      <w:r>
        <w:rPr>
          <w:rtl w:val="true"/>
        </w:rPr>
        <w:t>(</w:t>
      </w:r>
      <w:r>
        <w:rPr/>
        <w:t>RMSE = 0.045</w:t>
      </w:r>
      <w:r>
        <w:rPr>
          <w:rtl w:val="true"/>
        </w:rPr>
        <w:t xml:space="preserve">) </w:t>
      </w:r>
      <w:r>
        <w:rPr>
          <w:rtl w:val="true"/>
        </w:rPr>
        <w:t>على مستخدمين وتقييمات مولَّدة صناعياً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التعلم المعزّز وقطّاع الطرق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3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>أقوى ورقة في المحور</w:t>
      </w:r>
      <w:r>
        <w:rPr>
          <w:rtl w:val="true"/>
        </w:rPr>
        <w:t xml:space="preserve">: </w:t>
      </w:r>
      <w:r>
        <w:rPr>
          <w:rtl w:val="true"/>
        </w:rPr>
        <w:t xml:space="preserve">مؤتمر </w:t>
      </w:r>
      <w:r>
        <w:rPr/>
        <w:t>AAAI</w:t>
      </w:r>
      <w:r>
        <w:rPr>
          <w:rtl w:val="true"/>
        </w:rPr>
        <w:t>، وبيانات حقيقية واسعة، وجدول خطوط أساس، وشيفرة منشورة</w:t>
      </w:r>
      <w:r>
        <w:rPr>
          <w:rtl w:val="true"/>
        </w:rPr>
        <w:t xml:space="preserve">.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هو الأفضل في كل المقاييس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 أن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رفع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0.6905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0.7968</w:t>
      </w:r>
      <w:r>
        <w:rPr>
          <w:rtl w:val="true"/>
        </w:rPr>
        <w:t xml:space="preserve">، وأن التنقيح الجشع </w:t>
      </w:r>
      <w:r>
        <w:rPr>
          <w:rtl w:val="true"/>
        </w:rPr>
        <w:t>(</w:t>
      </w:r>
      <w:r>
        <w:rPr/>
        <w:t>greedy</w:t>
      </w:r>
      <w:r>
        <w:rPr>
          <w:rtl w:val="true"/>
        </w:rPr>
        <w:t xml:space="preserve">) </w:t>
      </w:r>
      <w:r>
        <w:rPr>
          <w:rtl w:val="true"/>
        </w:rPr>
        <w:t xml:space="preserve">البسيط بلغ </w:t>
      </w:r>
      <w:r>
        <w:rPr/>
        <w:t>0.7744</w:t>
      </w:r>
      <w:r>
        <w:rPr>
          <w:rtl w:val="true"/>
        </w:rPr>
        <w:t xml:space="preserve">، أي أدنى من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بـ </w:t>
      </w:r>
      <w:r>
        <w:rPr/>
        <w:t>2.24</w:t>
      </w:r>
      <w:r>
        <w:rPr>
          <w:rtl w:val="true"/>
        </w:rPr>
        <w:t xml:space="preserve"> </w:t>
      </w:r>
      <w:r>
        <w:rPr>
          <w:rtl w:val="true"/>
        </w:rPr>
        <w:t xml:space="preserve">نقطة </w:t>
      </w:r>
      <w:r>
        <w:rPr>
          <w:rtl w:val="true"/>
        </w:rPr>
        <w:t>(</w:t>
      </w:r>
      <w:r>
        <w:rPr>
          <w:rtl w:val="true"/>
        </w:rPr>
        <w:t xml:space="preserve">حساب الباحث؛ ويذكر المؤلفون </w:t>
      </w:r>
      <w:r>
        <w:rPr/>
        <w:t>2.27</w:t>
      </w:r>
      <w:r>
        <w:rPr>
          <w:rtl w:val="true"/>
        </w:rPr>
        <w:t xml:space="preserve">%).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التنقيح الجشع يحقق قرابة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فوق </w:t>
      </w:r>
      <w:r>
        <w:rPr/>
        <w:t>NAIS</w:t>
      </w:r>
      <w:r>
        <w:rPr>
          <w:rtl w:val="true"/>
        </w:rPr>
        <w:t xml:space="preserve"> (</w:t>
      </w:r>
      <w:r>
        <w:rPr/>
        <w:t>8.39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10.63</w:t>
      </w:r>
      <w:r>
        <w:rPr>
          <w:rtl w:val="true"/>
        </w:rPr>
        <w:t xml:space="preserve"> </w:t>
      </w:r>
      <w:r>
        <w:rPr>
          <w:rtl w:val="true"/>
        </w:rPr>
        <w:t>نقطة؛ حساب الباحث</w:t>
      </w:r>
      <w:r>
        <w:rPr>
          <w:rtl w:val="true"/>
        </w:rPr>
        <w:t xml:space="preserve">) </w:t>
      </w:r>
      <w:r>
        <w:rPr>
          <w:rtl w:val="true"/>
        </w:rPr>
        <w:t>دون أن يعادله</w:t>
      </w:r>
      <w:r>
        <w:rPr>
          <w:rtl w:val="true"/>
        </w:rPr>
        <w:t xml:space="preserve">. </w:t>
      </w:r>
      <w:r>
        <w:rPr>
          <w:rtl w:val="true"/>
        </w:rPr>
        <w:t>فجزء كبير من المكسب يأتي من فكرة إزالة الضوضاء من الملف، وجزء أصغر من آلية التعلم المعزّز</w:t>
      </w:r>
      <w:r>
        <w:rPr>
          <w:rtl w:val="true"/>
        </w:rPr>
        <w:t>.</w:t>
      </w:r>
    </w:p>
    <w:p>
      <w:pPr>
        <w:pStyle w:val="Compact"/>
        <w:numPr>
          <w:ilvl w:val="0"/>
          <w:numId w:val="13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32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 xml:space="preserve">يعالج </w:t>
      </w:r>
      <w:r>
        <w:rPr>
          <w:b/>
          <w:b/>
          <w:bCs/>
          <w:rtl w:val="true"/>
        </w:rPr>
        <w:t>تحيّز النقرات</w:t>
      </w:r>
      <w:r>
        <w:rPr>
          <w:rtl w:val="true"/>
        </w:rPr>
        <w:t xml:space="preserve">، فيفصل </w:t>
      </w:r>
      <w:r>
        <w:rPr>
          <w:rtl w:val="true"/>
        </w:rPr>
        <w:t>«</w:t>
      </w:r>
      <w:r>
        <w:rPr>
          <w:rtl w:val="true"/>
        </w:rPr>
        <w:t>الفحص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الصلة</w:t>
      </w:r>
      <w:r>
        <w:rPr>
          <w:rtl w:val="true"/>
        </w:rPr>
        <w:t xml:space="preserve">». </w:t>
      </w:r>
      <w:r>
        <w:rPr>
          <w:rtl w:val="true"/>
        </w:rPr>
        <w:t xml:space="preserve">أورد المؤلفون زيادة في نسبة النقر بلغت </w:t>
      </w:r>
      <w:r>
        <w:rPr/>
        <w:t>8.9</w:t>
      </w:r>
      <w:r>
        <w:rPr>
          <w:rtl w:val="true"/>
        </w:rPr>
        <w:t xml:space="preserve">% </w:t>
      </w:r>
      <w:r>
        <w:rPr>
          <w:rtl w:val="true"/>
        </w:rPr>
        <w:t xml:space="preserve">مقارنة بالـ </w:t>
      </w:r>
      <w:r>
        <w:rPr/>
        <w:t>bandit</w:t>
      </w:r>
      <w:r>
        <w:rPr>
          <w:rtl w:val="true"/>
        </w:rPr>
        <w:t xml:space="preserve"> </w:t>
      </w:r>
      <w:r>
        <w:rPr>
          <w:rtl w:val="true"/>
        </w:rPr>
        <w:t xml:space="preserve">القياسي، على أسئلة داخل فيديوهات </w:t>
      </w:r>
      <w:r>
        <w:rPr/>
        <w:t>XuetangX</w:t>
      </w:r>
      <w:r>
        <w:rPr>
          <w:rtl w:val="true"/>
        </w:rPr>
        <w:t>.</w:t>
      </w:r>
    </w:p>
    <w:p>
      <w:pPr>
        <w:pStyle w:val="Compact"/>
        <w:numPr>
          <w:ilvl w:val="0"/>
          <w:numId w:val="13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يستعملان التعلم المعزّز ثانوياً لتعلّم أوزان الدمج أو المسار، دون أن يثبت أيٌّ منهما قيمته مقابل خط أساس بسيط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تُظهر هذه الأوراق أن بنية المعرفة والقرار المتتابع واعدان، لكن ثمنهما مرتفع</w:t>
      </w:r>
      <w:r>
        <w:rPr>
          <w:rtl w:val="true"/>
        </w:rPr>
        <w:t xml:space="preserve">: </w:t>
      </w:r>
      <w:r>
        <w:rPr>
          <w:rtl w:val="true"/>
        </w:rPr>
        <w:t xml:space="preserve">خريطة معرفة يضعها خبراء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أو وحدة معالجة رسومية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تحذيراً منهجياً تحتاجه كل دراسة تعتمد على النقرات</w:t>
      </w:r>
      <w:r>
        <w:rPr>
          <w:rtl w:val="true"/>
        </w:rPr>
        <w:t xml:space="preserve">: </w:t>
      </w:r>
      <w:r>
        <w:rPr>
          <w:rtl w:val="true"/>
        </w:rPr>
        <w:t>غياب التفاعل ليس إشارة سالبة مؤكدة</w:t>
      </w:r>
      <w:r>
        <w:rPr>
          <w:rtl w:val="true"/>
        </w:rPr>
        <w:t>.</w:t>
      </w:r>
      <w:bookmarkEnd w:id="51"/>
    </w:p>
    <w:p>
      <w:pPr>
        <w:pStyle w:val="Heading2"/>
        <w:bidi w:val="1"/>
        <w:rPr/>
      </w:pPr>
      <w:bookmarkStart w:id="52" w:name="__RefHeading___Toc14982_277087200"/>
      <w:bookmarkStart w:id="53" w:name="X9eafdc88544c5fa886d0188333eadbadaffec3b"/>
      <w:bookmarkEnd w:id="52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 xml:space="preserve">): </w:t>
      </w:r>
      <w:r>
        <w:rPr>
          <w:rtl w:val="true"/>
        </w:rPr>
        <w:t>التجميع والتعلم الآلي الكلاسيكي والتعلّم بالترتيب</w:t>
      </w:r>
    </w:p>
    <w:p>
      <w:pPr>
        <w:pStyle w:val="Normal"/>
        <w:bidi w:val="1"/>
        <w:rPr/>
      </w:pPr>
      <w:r>
        <w:rPr>
          <w:rtl w:val="true"/>
        </w:rPr>
        <w:t xml:space="preserve">يقارن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أوراق هذا المحور في المهمة والبيانات والمقياس والمأخذ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أوراق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هـ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5"/>
        <w:gridCol w:w="2176"/>
        <w:gridCol w:w="1827"/>
        <w:gridCol w:w="1566"/>
        <w:gridCol w:w="2524"/>
      </w:tblGrid>
      <w:tr>
        <w:trPr>
          <w:tblHeader w:val="true"/>
        </w:trPr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والنتيجة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المأخذ الرئيسي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روابط مواقع لاستعلام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Random Forest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روابط؛ الحجم غير مذكور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 = 98.98% (SVM: 42%)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 شخصية؛ لم يُفصَّل ضبط المعاملات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مشاريع برمجة مرئية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K=3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واحد يضم </w:t>
            </w:r>
            <w:r>
              <w:rPr>
                <w:kern w:val="0"/>
                <w:lang w:val="en-US" w:eastAsia="en-US" w:bidi="ar-SA"/>
              </w:rPr>
              <w:t>93.23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 = 0.81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اصطناعية؛ ورقتان متطابقتان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بالمكافأة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مجموعتان فرعيتان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نموذجاً؛ تقييمات صريحة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يشترك المحور في استعمال أدوات مفهومة قابلة للتنفيذ في بيئة الرسالة</w:t>
      </w:r>
      <w:r>
        <w:rPr>
          <w:rtl w:val="true"/>
        </w:rPr>
        <w:t xml:space="preserve">. </w:t>
      </w:r>
      <w:r>
        <w:rPr>
          <w:rtl w:val="true"/>
        </w:rPr>
        <w:t>لكن مقياس النجاح يختلف بين أوراقه</w:t>
      </w:r>
      <w:r>
        <w:rPr>
          <w:rtl w:val="true"/>
        </w:rPr>
        <w:t>:</w:t>
      </w:r>
    </w:p>
    <w:p>
      <w:pPr>
        <w:pStyle w:val="Compact"/>
        <w:numPr>
          <w:ilvl w:val="0"/>
          <w:numId w:val="139"/>
        </w:numPr>
        <w:bidi w:val="1"/>
        <w:rPr/>
      </w:pPr>
      <w:r>
        <w:rPr>
          <w:b/>
          <w:b/>
          <w:bCs/>
          <w:rtl w:val="true"/>
        </w:rPr>
        <w:t>تصنيف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ثانوياً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40"/>
        </w:numPr>
        <w:bidi w:val="1"/>
        <w:rPr/>
      </w:pPr>
      <w:r>
        <w:rPr>
          <w:b/>
          <w:b/>
          <w:bCs/>
          <w:rtl w:val="true"/>
        </w:rPr>
        <w:t>تماسك عناقيد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اللذان يستعملان </w:t>
      </w:r>
      <w:r>
        <w:rPr/>
        <w:t>K-means</w:t>
      </w:r>
      <w:r>
        <w:rPr>
          <w:rtl w:val="true"/>
        </w:rPr>
        <w:t xml:space="preserve"> </w:t>
      </w:r>
      <w:r>
        <w:rPr>
          <w:rtl w:val="true"/>
        </w:rPr>
        <w:t xml:space="preserve">مرحلةً قبل </w:t>
      </w:r>
      <w:r>
        <w:rPr/>
        <w:t>CF</w:t>
      </w:r>
      <w:r>
        <w:rPr>
          <w:rtl w:val="true"/>
        </w:rPr>
        <w:t>.</w:t>
      </w:r>
    </w:p>
    <w:p>
      <w:pPr>
        <w:pStyle w:val="Compact"/>
        <w:numPr>
          <w:ilvl w:val="0"/>
          <w:numId w:val="141"/>
        </w:numPr>
        <w:bidi w:val="1"/>
        <w:rPr/>
      </w:pPr>
      <w:r>
        <w:rPr>
          <w:b/>
          <w:b/>
          <w:bCs/>
          <w:rtl w:val="true"/>
        </w:rPr>
        <w:t>ترتيب</w:t>
      </w:r>
      <w:r>
        <w:rPr>
          <w:rtl w:val="true"/>
        </w:rPr>
        <w:t xml:space="preserve"> على بيانات اصطناعية في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].</w:t>
      </w:r>
    </w:p>
    <w:p>
      <w:pPr>
        <w:pStyle w:val="Compact"/>
        <w:numPr>
          <w:ilvl w:val="0"/>
          <w:numId w:val="142"/>
        </w:numPr>
        <w:bidi w:val="1"/>
        <w:rPr/>
      </w:pPr>
      <w:r>
        <w:rPr>
          <w:b/>
          <w:b/>
          <w:bCs/>
          <w:rtl w:val="true"/>
        </w:rPr>
        <w:t>إعجاب ثنائي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ولا ورقة تقيس أثر التجميع أو التصنيف في جودة الترتيب</w:t>
      </w:r>
      <w:r>
        <w:rPr>
          <w:rtl w:val="true"/>
        </w:rPr>
        <w:t xml:space="preserve">. </w:t>
      </w:r>
      <w:r>
        <w:rPr>
          <w:rtl w:val="true"/>
        </w:rPr>
        <w:t xml:space="preserve">وعن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]: </w:t>
      </w:r>
      <w:r>
        <w:rPr>
          <w:rtl w:val="true"/>
        </w:rPr>
        <w:t xml:space="preserve">تتطابق الورقتان في البيانات </w:t>
      </w:r>
      <w:r>
        <w:rPr>
          <w:rtl w:val="true"/>
        </w:rPr>
        <w:t>(</w:t>
      </w:r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مليون سجل</w:t>
      </w:r>
      <w:r>
        <w:rPr>
          <w:rtl w:val="true"/>
        </w:rPr>
        <w:t xml:space="preserve">: </w:t>
      </w:r>
      <w:r>
        <w:rPr>
          <w:rtl w:val="true"/>
        </w:rPr>
        <w:t xml:space="preserve">مليون من </w:t>
      </w:r>
      <w:r>
        <w:rPr/>
        <w:t>Coursera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edX</w:t>
      </w:r>
      <w:r>
        <w:rPr>
          <w:rtl w:val="true"/>
        </w:rPr>
        <w:t xml:space="preserve">) </w:t>
      </w:r>
      <w:r>
        <w:rPr>
          <w:rtl w:val="true"/>
        </w:rPr>
        <w:t xml:space="preserve">وفي فرط المعاملات وفي النتائج، بما فيها زمن الاستعلام البالغ </w:t>
      </w:r>
      <w:r>
        <w:rPr/>
        <w:t>112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. </w:t>
      </w:r>
      <w:r>
        <w:rPr>
          <w:rtl w:val="true"/>
        </w:rPr>
        <w:t xml:space="preserve">ويشترك فيهما ثلاثة مؤلفين، فتُعاملان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التجميع والتصنيف يصلحان مرحلةً لتحليل المتعلمين، كما في </w:t>
      </w:r>
      <w:r>
        <w:rPr/>
        <w:t>RQ4</w:t>
      </w:r>
      <w:r>
        <w:rPr>
          <w:rtl w:val="true"/>
        </w:rPr>
        <w:t xml:space="preserve"> </w:t>
      </w:r>
      <w:r>
        <w:rPr>
          <w:rtl w:val="true"/>
        </w:rPr>
        <w:t>والهدف الفرعي الثاني، لكنهما لا يُعدّان دليلاً على جودة التوصية ما لم يُقس أثرهما بمقاييس ترتيب</w:t>
      </w:r>
      <w:r>
        <w:rPr>
          <w:rtl w:val="true"/>
        </w:rPr>
        <w:t>.</w:t>
      </w:r>
      <w:bookmarkEnd w:id="53"/>
    </w:p>
    <w:p>
      <w:pPr>
        <w:pStyle w:val="Heading2"/>
        <w:bidi w:val="1"/>
        <w:rPr/>
      </w:pPr>
      <w:bookmarkStart w:id="54" w:name="__RefHeading___Toc14984_277087200"/>
      <w:bookmarkStart w:id="55" w:name="قراءة-عرضية-ما-ينقل-من-خارج-مجال-التعليم"/>
      <w:bookmarkEnd w:id="54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قراءة عرضية</w:t>
      </w:r>
      <w:r>
        <w:rPr>
          <w:rtl w:val="true"/>
        </w:rPr>
        <w:t xml:space="preserve">: </w:t>
      </w:r>
      <w:r>
        <w:rPr>
          <w:rtl w:val="true"/>
        </w:rPr>
        <w:t>ما يُنقل من خارج مجال التعليم</w:t>
      </w:r>
    </w:p>
    <w:p>
      <w:pPr>
        <w:pStyle w:val="Normal"/>
        <w:bidi w:val="1"/>
        <w:rPr/>
      </w:pPr>
      <w:r>
        <w:rPr>
          <w:rtl w:val="true"/>
        </w:rPr>
        <w:t>لا تشكّل المراجع السبعة من خارج التعليم محوراً مستقلاً</w:t>
      </w:r>
      <w:r>
        <w:rPr>
          <w:rtl w:val="true"/>
        </w:rPr>
        <w:t xml:space="preserve">. </w:t>
      </w:r>
      <w:r>
        <w:rPr>
          <w:rtl w:val="true"/>
        </w:rPr>
        <w:t xml:space="preserve">لكن مقارنتها تُظهر أن ما يُنقل منها إلى التعليم </w:t>
      </w:r>
      <w:r>
        <w:rPr>
          <w:b/>
          <w:b/>
          <w:bCs/>
          <w:rtl w:val="true"/>
        </w:rPr>
        <w:t>مبادئ منهجية لا أرقام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9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ما يُنقل من المراجع غير التعليمية وما لا يُنقل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"/>
        <w:gridCol w:w="703"/>
        <w:gridCol w:w="3779"/>
        <w:gridCol w:w="3603"/>
      </w:tblGrid>
      <w:tr>
        <w:trPr>
          <w:tblHeader w:val="true"/>
        </w:trPr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المجال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يُنقل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لا يُنقل ولماذا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موسيقى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إطار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>؛ الجيران الجلسيون خطوط أساس قوية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تفوّق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>، لأن جداول الورقة نفسها تخالفه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تعريف </w:t>
            </w:r>
            <w:r>
              <w:rPr>
                <w:kern w:val="0"/>
                <w:lang w:val="en-US" w:eastAsia="en-US" w:bidi="ar-SA"/>
              </w:rPr>
              <w:t>RBFNN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ودمج مصادر متعددة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لأن البيانات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 بلا دقة مُبلَّغة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الخوارزمية حسب التغذية الراجعة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المقياس الثنائي، فهو ليس ترتيباً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القائمة الرمادية والاستكشاف للبدء البارد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النتائج، لأن المستخدم مُحاكى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أفعال الصفحة إلى تقييم ضمني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التحسّن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الجودة تراجعت والمكسب في الزمن فقط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الاهتمامات تتغير؛ نافذة نحو 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يوماً؛ دورية أسبوعية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طول النافذة، لأن تاريخ المتعلمين أقصر ويحتاج المرجع سلاسل طويلة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البيانات الوصفية والنص للعناصر الجديدة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بسبب التحفظات الداخلية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>
          <w:rtl w:val="true"/>
        </w:rPr>
        <w:t>على أن الطريقة الأبسط تعادل الأعقد أو تتفوق عليها حين تُقارن بإنصاف، رغم أن المؤلفين ادّعوا العكس</w:t>
      </w:r>
      <w:r>
        <w:rPr>
          <w:rtl w:val="true"/>
        </w:rPr>
        <w:t xml:space="preserve">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الدليل التجريبي الوحيد في المجموعة على تغيّر الاهتمامات عبر الزمن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فتنقل أفكاراً تصميمية لا أدلة</w:t>
      </w:r>
      <w:r>
        <w:rPr>
          <w:rtl w:val="true"/>
        </w:rPr>
        <w:t>.</w:t>
      </w:r>
      <w:bookmarkEnd w:id="55"/>
    </w:p>
    <w:p>
      <w:pPr>
        <w:pStyle w:val="Heading2"/>
        <w:bidi w:val="1"/>
        <w:rPr/>
      </w:pPr>
      <w:bookmarkStart w:id="56" w:name="__RefHeading___Toc14986_277087200"/>
      <w:bookmarkStart w:id="57" w:name="تحليلات-التعلم-على-oulad-خارج-المجموعة"/>
      <w:bookmarkEnd w:id="56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تحليلات التعلم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>خارج المجموعة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لا يتضمن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 xml:space="preserve">أي مرجع من أدبيات تحليلات التعلم على </w:t>
      </w:r>
      <w:r>
        <w:rPr/>
        <w:t>OULAD</w:t>
      </w:r>
      <w:r>
        <w:rPr>
          <w:rtl w:val="true"/>
        </w:rPr>
        <w:t>، مع أنها مجموعة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لذلك يُعرض هنا، </w:t>
      </w:r>
      <w:r>
        <w:rPr>
          <w:b/>
          <w:b/>
          <w:bCs/>
          <w:rtl w:val="true"/>
        </w:rPr>
        <w:t>خارج المصفوفة</w:t>
      </w:r>
      <w:r>
        <w:rPr>
          <w:rtl w:val="true"/>
        </w:rPr>
        <w:t xml:space="preserve">، أربعة أعمال محقَّقة البيانات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أولها ورقة توصيف المجموعة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 xml:space="preserve">، والثلاثة الأخرى في التنبؤ بالانسحاب أو الأداء </w:t>
      </w:r>
      <w:r>
        <w:rPr>
          <w:rtl w:val="true"/>
        </w:rPr>
        <w:t>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ولم يُتح النص الكامل لـ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b/>
          <w:b/>
          <w:bCs/>
          <w:rtl w:val="true"/>
        </w:rPr>
        <w:t>فلا يُنقل عنها إلا ما في ملخصها أو صفحة فهرسها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أعمال في تحليلات التعلم على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من صفحات الفهارس والملخصات فقط؛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790"/>
        <w:gridCol w:w="879"/>
        <w:gridCol w:w="3692"/>
        <w:gridCol w:w="2461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العمل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ورد في الملخص أو صفحة الفهرس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ما يؤخذ منه لـ </w:t>
            </w:r>
            <w:r>
              <w:rPr>
                <w:b/>
                <w:kern w:val="0"/>
                <w:lang w:val="en-US" w:eastAsia="en-US" w:bidi="ar-SA"/>
              </w:rPr>
              <w:t>RQ4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توصيف 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مفتوحة من الجامعة المفتوحة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سجلات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وتقييمات، ونتائج نهائية، ومعلومات ديموغرافية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مصدر البيانات وترخيصها وطريقة الاستشهاد بها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المبكر بالانسحاب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عميق على تفاعلات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يعامل الانسحاب المبكر مسألة تصنيف تسلسلي زمني، ويقارن بالانحدار اللوجستي وبشبكة عصبونية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الصياغة التسلسلية للتنبؤ المبكر؛ ولا تُنقل أرقامه، لأنها لم تُؤكَّد من مصدر أولي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بالمعرّضين للخطر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عصبونية على نقرات </w:t>
            </w: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تتنبأ بالمعرّضين للخطر في وقت مبكر يسمح بالتدخل، وإضافة البيانات السابقة وبيانات التقييم تحسّن القدرة التنبؤية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ملامح النقر وحدها خط أساس للتنبؤ المبكر، والتقييمات قبل القطع ملامح إضافية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وآخرون،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7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الانسحاب والنتيجة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مجمّعات وتعلم عميق وانحدار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أفضلها </w:t>
            </w:r>
            <w:r>
              <w:rPr>
                <w:kern w:val="0"/>
                <w:lang w:val="en-US" w:eastAsia="en-US" w:bidi="ar-SA"/>
              </w:rPr>
              <w:t>GBM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تفاعل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وحدها بلغت </w:t>
            </w:r>
            <w:r>
              <w:rPr>
                <w:kern w:val="0"/>
                <w:lang w:val="en-US" w:eastAsia="en-US" w:bidi="ar-SA"/>
              </w:rPr>
              <w:t>AUC = 0.91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للانسحاب و</w:t>
            </w:r>
            <w:r>
              <w:rPr>
                <w:kern w:val="0"/>
                <w:lang w:val="en-US" w:eastAsia="en-US" w:bidi="ar-SA"/>
              </w:rPr>
              <w:t>0.93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للنتيجة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مقياساً، وأهمية ميزات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مقارنة بالديموغرافية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تتفق الأعمال الثلاثة على أن </w:t>
      </w:r>
      <w:r>
        <w:rPr>
          <w:b/>
          <w:b/>
          <w:bCs/>
          <w:rtl w:val="true"/>
        </w:rPr>
        <w:t xml:space="preserve">سجلات التفاعل مع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وحدها تحمل قدرة تنبؤية معتبرة</w:t>
      </w:r>
      <w:r>
        <w:rPr>
          <w:rtl w:val="true"/>
        </w:rPr>
        <w:t xml:space="preserve"> بالانسحاب والأداء</w:t>
      </w:r>
      <w:r>
        <w:rPr>
          <w:rtl w:val="true"/>
        </w:rPr>
        <w:t xml:space="preserve">. </w:t>
      </w:r>
      <w:r>
        <w:rPr>
          <w:rtl w:val="true"/>
        </w:rPr>
        <w:t>وتختلف في النموذج</w:t>
      </w:r>
      <w:r>
        <w:rPr>
          <w:rtl w:val="true"/>
        </w:rPr>
        <w:t xml:space="preserve">: </w:t>
      </w:r>
      <w:r>
        <w:rPr/>
        <w:t>LSTM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</w:t>
      </w:r>
      <w:r>
        <w:rPr>
          <w:rtl w:val="true"/>
        </w:rPr>
        <w:t xml:space="preserve">، وشبكة عصبونية في </w:t>
      </w:r>
      <w:r>
        <w:rPr>
          <w:rtl w:val="true"/>
        </w:rPr>
        <w:t>[</w:t>
      </w:r>
      <w:r>
        <w:rPr/>
        <w:t>50</w:t>
      </w:r>
      <w:r>
        <w:rPr>
          <w:rtl w:val="true"/>
        </w:rPr>
        <w:t>]</w:t>
      </w:r>
      <w:r>
        <w:rPr>
          <w:rtl w:val="true"/>
        </w:rPr>
        <w:t xml:space="preserve">، ومجمّعات أفضلها </w:t>
      </w:r>
      <w:r>
        <w:rPr/>
        <w:t>GBM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]. </w:t>
      </w:r>
      <w:r>
        <w:rPr>
          <w:rtl w:val="true"/>
        </w:rPr>
        <w:t xml:space="preserve">ولم يتبيّن من الملخصات </w:t>
      </w:r>
      <w:r>
        <w:rPr>
          <w:b/>
          <w:b/>
          <w:bCs/>
          <w:rtl w:val="true"/>
        </w:rPr>
        <w:t>موعد القطع الزمني</w:t>
      </w:r>
      <w:r>
        <w:rPr>
          <w:rtl w:val="true"/>
        </w:rPr>
        <w:t xml:space="preserve"> في أيٍّ منها</w:t>
      </w:r>
      <w:r>
        <w:rPr>
          <w:rtl w:val="true"/>
        </w:rPr>
        <w:t xml:space="preserve">. </w:t>
      </w:r>
      <w:r>
        <w:rPr>
          <w:rtl w:val="true"/>
        </w:rPr>
        <w:t>وهذا قيد مهم عند المقارنة، لأن استعمال بيانات ما بعد القطع يضخّم النتائج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التنبؤ المبكر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موضوع مطروق، فلا تُدّعى فيه جدّة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، الفقرة الرابعة</w:t>
      </w:r>
      <w:r>
        <w:rPr>
          <w:rtl w:val="true"/>
        </w:rPr>
        <w:t xml:space="preserve">). </w:t>
      </w:r>
      <w:r>
        <w:rPr>
          <w:rtl w:val="true"/>
        </w:rPr>
        <w:t>وما تأخذه الرسالة منه ثلاثة أمور</w:t>
      </w:r>
      <w:r>
        <w:rPr>
          <w:rtl w:val="true"/>
        </w:rPr>
        <w:t xml:space="preserve">: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 xml:space="preserve">مقياساً، وخط أساس النقرات الكلية، وضرورة القطع الزمني الصريح عند اليوم </w:t>
      </w:r>
      <w:r>
        <w:rPr/>
        <w:t>56</w:t>
      </w:r>
      <w:r>
        <w:rPr>
          <w:rtl w:val="true"/>
        </w:rPr>
        <w:t xml:space="preserve"> (</w:t>
      </w:r>
      <w:r>
        <w:rPr/>
        <w:t>D-13</w:t>
      </w:r>
      <w:r>
        <w:rPr>
          <w:rtl w:val="true"/>
        </w:rPr>
        <w:t>).</w:t>
      </w:r>
      <w:bookmarkEnd w:id="33"/>
      <w:bookmarkEnd w:id="57"/>
    </w:p>
    <w:p>
      <w:pPr>
        <w:pStyle w:val="Heading1"/>
        <w:bidi w:val="1"/>
        <w:rPr/>
      </w:pPr>
      <w:bookmarkStart w:id="58" w:name="__RefHeading___Toc14988_277087200"/>
      <w:bookmarkStart w:id="59" w:name="التحليل-المقارن"/>
      <w:bookmarkEnd w:id="58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التحليل المقارن</w:t>
      </w:r>
    </w:p>
    <w:p>
      <w:pPr>
        <w:pStyle w:val="Normal"/>
        <w:bidi w:val="1"/>
        <w:rPr/>
      </w:pPr>
      <w:r>
        <w:rPr>
          <w:rtl w:val="true"/>
        </w:rPr>
        <w:t>يجمع هذا القسم المقارنة في أربعة جداول</w:t>
      </w:r>
      <w:r>
        <w:rPr>
          <w:rtl w:val="true"/>
        </w:rPr>
        <w:t xml:space="preserve">: </w:t>
      </w:r>
      <w:r>
        <w:rPr>
          <w:rtl w:val="true"/>
        </w:rPr>
        <w:t>مصفوفة مختصرة للمراجع عالية الصلة، ومجموعات البيانات، وإشارات السلوك، والمقاييس والبروتوكولات</w:t>
      </w:r>
      <w:r>
        <w:rPr>
          <w:rtl w:val="true"/>
        </w:rPr>
        <w:t xml:space="preserve">. </w:t>
      </w:r>
      <w:r>
        <w:rPr>
          <w:rtl w:val="true"/>
        </w:rPr>
        <w:t>أما المصفوفة الكاملة بثمانية وثلاثين صفاً فهي في الملحق أ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60" w:name="__RefHeading___Toc14990_277087200"/>
      <w:bookmarkEnd w:id="60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المصفوفة المختصرة للمراجع عالية الصلة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يُدرج في 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كل مرجع قدّرت بطاقته صلته بأنها </w:t>
      </w:r>
      <w:r>
        <w:rPr>
          <w:rtl w:val="true"/>
        </w:rPr>
        <w:t>«</w:t>
      </w:r>
      <w:r>
        <w:rPr>
          <w:rtl w:val="true"/>
        </w:rPr>
        <w:t>عالية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 xml:space="preserve">» </w:t>
      </w:r>
      <w:r>
        <w:rPr>
          <w:rtl w:val="true"/>
        </w:rPr>
        <w:t xml:space="preserve">بأي وجه </w:t>
      </w:r>
      <w:r>
        <w:rPr>
          <w:rtl w:val="true"/>
        </w:rPr>
        <w:t>(</w:t>
      </w:r>
      <w:r>
        <w:rPr>
          <w:rtl w:val="true"/>
        </w:rPr>
        <w:t>بيانات، أو إشارات، أو تصميم، أو موضوع</w:t>
      </w:r>
      <w:r>
        <w:rPr>
          <w:rtl w:val="true"/>
        </w:rPr>
        <w:t>)</w:t>
      </w:r>
      <w:r>
        <w:rPr>
          <w:rtl w:val="true"/>
        </w:rPr>
        <w:t xml:space="preserve">، ويُضاف إليها مراجع نقطة الانطلاق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7.5</w:t>
      </w:r>
      <w:r>
        <w:rPr>
          <w:rtl w:val="true"/>
        </w:rPr>
        <w:t xml:space="preserve">). </w:t>
      </w:r>
      <w:r>
        <w:rPr>
          <w:rtl w:val="true"/>
        </w:rPr>
        <w:t>وعلى هذا المعيار</w:t>
      </w:r>
      <w:r>
        <w:rPr>
          <w:rtl w:val="true"/>
        </w:rPr>
        <w:t>:</w:t>
      </w:r>
    </w:p>
    <w:p>
      <w:pPr>
        <w:pStyle w:val="Compact"/>
        <w:numPr>
          <w:ilvl w:val="0"/>
          <w:numId w:val="143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صفاً واحداً بحكميهما ❌</w:t>
      </w:r>
      <w:r>
        <w:rPr>
          <w:rtl w:val="true"/>
        </w:rPr>
        <w:t>/❓.</w:t>
      </w:r>
    </w:p>
    <w:p>
      <w:pPr>
        <w:pStyle w:val="Compact"/>
        <w:numPr>
          <w:ilvl w:val="0"/>
          <w:numId w:val="144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 xml:space="preserve">لأن صلتهما </w:t>
      </w:r>
      <w:r>
        <w:rPr>
          <w:rtl w:val="true"/>
        </w:rPr>
        <w:t>«</w:t>
      </w:r>
      <w:r>
        <w:rPr>
          <w:rtl w:val="true"/>
        </w:rPr>
        <w:t>عالية موضوعاً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45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لأنهما من مراجع نقطة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6"/>
        </w:numPr>
        <w:bidi w:val="1"/>
        <w:rPr/>
      </w:pPr>
      <w:r>
        <w:rPr>
          <w:rtl w:val="true"/>
        </w:rPr>
        <w:t xml:space="preserve">لم يُدرج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لأن صلته </w:t>
      </w:r>
      <w:r>
        <w:rPr>
          <w:rtl w:val="true"/>
        </w:rPr>
        <w:t>«</w:t>
      </w:r>
      <w:r>
        <w:rPr>
          <w:rtl w:val="true"/>
        </w:rPr>
        <w:t>متوسطة</w:t>
      </w:r>
      <w:r>
        <w:rPr>
          <w:rtl w:val="true"/>
        </w:rPr>
        <w:t xml:space="preserve">» </w:t>
      </w:r>
      <w:r>
        <w:rPr>
          <w:rtl w:val="true"/>
        </w:rPr>
        <w:t>وليس من مراجع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47"/>
        </w:numPr>
        <w:bidi w:val="1"/>
        <w:rPr/>
      </w:pPr>
      <w:r>
        <w:rPr>
          <w:rtl w:val="true"/>
        </w:rPr>
        <w:t>لـ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صفّان، واحد لكل نموذج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المراجع عالية الصلة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8"/>
        <w:gridCol w:w="1537"/>
        <w:gridCol w:w="1279"/>
        <w:gridCol w:w="1450"/>
        <w:gridCol w:w="2817"/>
        <w:gridCol w:w="596"/>
      </w:tblGrid>
      <w:tr>
        <w:trPr>
          <w:tblHeader w:val="true"/>
        </w:trPr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الطريقة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أفضل نتيجة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تسلسل سالب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تقسيم مستخدمين </w:t>
            </w:r>
            <w:r>
              <w:rPr>
                <w:kern w:val="0"/>
                <w:lang w:val="en-US" w:eastAsia="en-US" w:bidi="ar-SA"/>
              </w:rPr>
              <w:t>400/100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عيّنة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جاكار، ثم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ومددها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لتنبؤ الإكمال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3:1:1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معمارية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قبول ورضا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Kshirsagar 2025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Chavhan 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 مع اضمحلال زمني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طبقي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  <w:r>
              <w:rPr>
                <w:kern w:val="0"/>
                <w:rtl w:val="true"/>
                <w:lang w:val="en-US" w:eastAsia="en-US" w:bidi="ar-SA"/>
              </w:rPr>
              <w:t>/❓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</w:t>
            </w:r>
            <w:r>
              <w:rPr>
                <w:kern w:val="0"/>
                <w:lang w:val="en-US" w:eastAsia="en-US" w:bidi="ar-SA"/>
              </w:rPr>
              <w:t>LMS: 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ضمني إلى صريح، ثم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داخلي، دائري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بدلالة 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(BBB-2013J):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الشعبية </w:t>
            </w:r>
            <w:r>
              <w:rPr>
                <w:kern w:val="0"/>
                <w:lang w:val="en-US" w:eastAsia="en-US" w:bidi="ar-SA"/>
              </w:rPr>
              <w:t>0.819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ترك واحد، 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محوّل 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0.4534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0.2618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يُصرَّح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غير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خمسة 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مع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 </w:t>
            </w:r>
            <w:r>
              <w:rPr>
                <w:kern w:val="0"/>
                <w:lang w:val="en-US" w:eastAsia="en-US" w:bidi="ar-SA"/>
              </w:rPr>
              <w:t>Java: 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مدة، تكرار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الجماعي بعد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أسابيع،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شرائح زمنية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قواعد ضبابية، 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سهولة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فائدة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تجربة متتابعة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(HRL+NAIS)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NAIS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التسجيل، نسبة المشاهدة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0.7968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0.5069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زمني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(HRL+NASR)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NASR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0.7450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0.5273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ووزن تفاعل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مهام مستخدمين، بلا خط أساس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  <w:bookmarkStart w:id="61" w:name="المصفوفة-المختصرة-للمراجع-عالية-الصلة"/>
            <w:bookmarkEnd w:id="61"/>
          </w:p>
        </w:tc>
      </w:tr>
    </w:tbl>
    <w:p>
      <w:pPr>
        <w:pStyle w:val="Heading2"/>
        <w:bidi w:val="1"/>
        <w:rPr/>
      </w:pPr>
      <w:bookmarkStart w:id="62" w:name="__RefHeading___Toc14992_277087200"/>
      <w:bookmarkEnd w:id="62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مجموعات البيانات المستخدمة في الأدبيات</w:t>
      </w:r>
    </w:p>
    <w:p>
      <w:pPr>
        <w:pStyle w:val="Normal"/>
        <w:bidi w:val="1"/>
        <w:rPr/>
      </w:pPr>
      <w:r>
        <w:rPr>
          <w:rtl w:val="true"/>
        </w:rPr>
        <w:t xml:space="preserve">الملاحظة الرئيسية في الجدول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 xml:space="preserve">أن </w:t>
      </w:r>
      <w:r>
        <w:rPr>
          <w:b/>
          <w:b/>
          <w:bCs/>
          <w:rtl w:val="true"/>
        </w:rPr>
        <w:t>البيانات التعليمية العامة التي تحوي سلوكاً فعلياً قليلة في المجموعة</w:t>
      </w:r>
      <w:r>
        <w:rPr>
          <w:rtl w:val="true"/>
        </w:rPr>
        <w:t xml:space="preserve">: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وسجلات النقر المنشورة في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وفي بيئة الرسالة، اعتُمدت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الكاملة</w:t>
      </w:r>
      <w:r>
        <w:rPr>
          <w:rtl w:val="true"/>
        </w:rPr>
        <w:t xml:space="preserve">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فاستُبعدت لأنها لم تجتز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 xml:space="preserve">غير قابلة للتحميل من المصادر الرسمية في البيئة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لذلك تُعامَل أرقام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مرجعاً منهجياً</w:t>
      </w:r>
      <w:r>
        <w:rPr>
          <w:rtl w:val="true"/>
        </w:rPr>
        <w:t xml:space="preserve"> لا معياراً رقمياً للمقارنة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مجموعات البيانات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من البطاقات؛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موثّق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أن البطاقة لا تذكر الإتاحة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879"/>
        <w:gridCol w:w="1758"/>
        <w:gridCol w:w="3077"/>
        <w:gridCol w:w="1581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الحجم كما ورد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متاحة عامةً؟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[46]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يومية حسب نوع النشاط، تقييمات، نتيجة نهائية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الوحدة </w:t>
            </w:r>
            <w:r>
              <w:rPr>
                <w:kern w:val="0"/>
                <w:lang w:val="en-US" w:eastAsia="en-US" w:bidi="ar-SA"/>
              </w:rPr>
              <w:t>BBB-2013J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طالباً، </w:t>
            </w:r>
            <w:r>
              <w:rPr>
                <w:kern w:val="0"/>
                <w:lang w:val="en-US" w:eastAsia="en-US" w:bidi="ar-SA"/>
              </w:rPr>
              <w:t>319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مورداً، </w:t>
            </w:r>
            <w:r>
              <w:rPr>
                <w:kern w:val="0"/>
                <w:lang w:val="en-US" w:eastAsia="en-US" w:bidi="ar-SA"/>
              </w:rPr>
              <w:t>452,638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تفاعلاً؛ الكاملة 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عرضاً و</w:t>
            </w:r>
            <w:r>
              <w:rPr>
                <w:kern w:val="0"/>
                <w:lang w:val="en-US" w:eastAsia="en-US" w:bidi="ar-SA"/>
              </w:rPr>
              <w:t>10,655,280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صفاً في </w:t>
            </w:r>
            <w:r>
              <w:rPr>
                <w:rStyle w:val="VerbatimChar"/>
                <w:kern w:val="0"/>
                <w:lang w:val="en-US" w:eastAsia="en-US" w:bidi="ar-SA"/>
              </w:rPr>
              <w:t>studentVle</w:t>
            </w:r>
            <w:r>
              <w:rPr>
                <w:kern w:val="0"/>
                <w:lang w:val="en-US" w:eastAsia="en-US" w:bidi="ar-SA"/>
              </w:rPr>
              <w:t xml:space="preserve"> (ADR-001)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CC BY 4.0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 / 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تسجيل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تسجيل، مع نسبة المشاهدة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و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 و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تسجيلاً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بأحجام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عامة بحثياً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غير متاحة في بيئة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نقر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 على لافتات أسئلة مع الموضع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GitHub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ويستعمل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 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86,894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412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جلسات استماع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31.35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حدث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مقالات مع خمسة أنواع تفاعل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تصفها الورقة بأنها متاحة؛ مصدر التحميل غير مذكور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</w:t>
            </w:r>
            <w:r>
              <w:rPr>
                <w:kern w:val="0"/>
                <w:lang w:val="en-US" w:eastAsia="en-US" w:bidi="ar-SA"/>
              </w:rPr>
              <w:t>Udemy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للمقررات بلا سجلات متعلمين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3,678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3,522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290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edX Course Data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مع سياق مُدّعى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1,000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المصدر غير مسمّى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Coursera/Udemy/edX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مع تفاعلات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اصطناعية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 و</w:t>
            </w:r>
            <w:r>
              <w:rPr>
                <w:kern w:val="0"/>
                <w:lang w:val="en-US" w:eastAsia="en-US" w:bidi="ar-SA"/>
              </w:rPr>
              <w:t>68,801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 مصطنع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استخدام كائنات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مستنتج من المراجعات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3,347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استخداماً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عامة؛ البيانات المزحوفة غير منشورة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مشاريع </w:t>
            </w:r>
            <w:r>
              <w:rPr>
                <w:kern w:val="0"/>
                <w:lang w:val="en-US" w:eastAsia="en-US" w:bidi="ar-SA"/>
              </w:rPr>
              <w:t>App Inventor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شيفرات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سلوك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حُصل عليها من </w:t>
            </w:r>
            <w:r>
              <w:rPr>
                <w:kern w:val="0"/>
                <w:lang w:val="en-US" w:eastAsia="en-US" w:bidi="ar-SA"/>
              </w:rPr>
              <w:t>MIT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لكتب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خاصة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منصات أو تجارب صفية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أعداد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نشرها على موقع شخصي، ويتيح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بياناته 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مجموعات 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وغيرها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سلوك ومؤشرات عصبية بهويات غير متطابقة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</w:t>
            </w:r>
            <w:r>
              <w:rPr>
                <w:kern w:val="0"/>
                <w:lang w:val="en-US" w:eastAsia="en-US" w:bidi="ar-SA"/>
              </w:rPr>
              <w:t>142,520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جزئياً؛ أصل غير مؤكد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بيانات أو بيانات غير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Heading2"/>
        <w:bidi w:val="1"/>
        <w:rPr/>
      </w:pPr>
      <w:bookmarkStart w:id="63" w:name="__RefHeading___Toc14994_277087200"/>
      <w:bookmarkEnd w:id="63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إشارات السلوك ومن استخدمها</w:t>
      </w:r>
    </w:p>
    <w:p>
      <w:pPr>
        <w:pStyle w:val="Normal"/>
        <w:bidi w:val="1"/>
        <w:rPr/>
      </w:pPr>
      <w:r>
        <w:rPr>
          <w:rtl w:val="true"/>
        </w:rPr>
        <w:t xml:space="preserve">يميّز الجدول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بين ثلاث فئات من الاستخدام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الاستخدام الفعلي</w:t>
      </w:r>
      <w:r>
        <w:rPr>
          <w:rtl w:val="true"/>
        </w:rPr>
        <w:t xml:space="preserve"> إشارة في سجلات حقيقية من منصة عاملة، ولأكثر من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مستخدم</w:t>
      </w:r>
      <w:r>
        <w:rPr>
          <w:rtl w:val="true"/>
        </w:rPr>
        <w:t xml:space="preserve">. </w:t>
      </w:r>
      <w:r>
        <w:rPr>
          <w:rtl w:val="true"/>
        </w:rPr>
        <w:t xml:space="preserve">ويُعزل في عمود مستقل ما جاء من </w:t>
      </w:r>
      <w:r>
        <w:rPr>
          <w:b/>
          <w:b/>
          <w:bCs/>
          <w:rtl w:val="true"/>
        </w:rPr>
        <w:t xml:space="preserve">نموذج أولي، أو عيّنة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أقل من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مستخدم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، أو أصل غير مؤكد</w:t>
      </w:r>
      <w:r>
        <w:rPr>
          <w:rtl w:val="true"/>
        </w:rPr>
        <w:t xml:space="preserve">. </w:t>
      </w:r>
      <w:r>
        <w:rPr>
          <w:rtl w:val="true"/>
        </w:rPr>
        <w:t xml:space="preserve">والفئة الثالثة </w:t>
      </w:r>
      <w:r>
        <w:rPr>
          <w:b/>
          <w:b/>
          <w:bCs/>
          <w:rtl w:val="true"/>
        </w:rPr>
        <w:t>الاصطناعي أو المُدّعى أو المحاكى</w:t>
      </w:r>
      <w:r>
        <w:rPr>
          <w:rtl w:val="true"/>
        </w:rPr>
        <w:t xml:space="preserve">. </w:t>
      </w:r>
      <w:r>
        <w:rPr>
          <w:rtl w:val="true"/>
        </w:rPr>
        <w:t>وهذه الحدود نفسها هي سلّم المعيار 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في 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إشارات السلوك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62"/>
        <w:gridCol w:w="2930"/>
        <w:gridCol w:w="1243"/>
        <w:gridCol w:w="1952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فعلي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سجلات حقيقية، </w:t>
            </w:r>
            <w:r>
              <w:rPr>
                <w:b/>
                <w:kern w:val="0"/>
                <w:lang w:val="en-US" w:eastAsia="en-US" w:bidi="ar-SA"/>
              </w:rPr>
              <w:t>100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مستخدم أو أكثر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نموذج أولي، أو عيّنة صغيرة، أو أصل غير مؤكد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اصطناعي أو مُدّعى أو محاكى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النقر وسجلات الوصول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بيانات غير مسمّاة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المشاهدة والاستشارة والاستخدام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الزمن والمدة والمكوث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نسبة المشاهدة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التكرار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التسلسل والترتيب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 والإكمال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الدرجات والتقييمات التحصيلية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الإشارات المرجعية وأفعال الحفظ والإعجاب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السياق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وقت، جهاز، موضع، 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يوم الأسبوع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دورية أسبوعية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الموضع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موجود في البيانات وغير مستخدم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التفاعل الاجتماعي والمجموعات والمنتديات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نوع نشاط </w:t>
            </w:r>
            <w:r>
              <w:rPr>
                <w:kern w:val="0"/>
                <w:lang w:val="en-US" w:eastAsia="en-US" w:bidi="ar-SA"/>
              </w:rPr>
              <w:t>forumng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وهناك مدخلات </w:t>
      </w:r>
      <w:r>
        <w:rPr>
          <w:b/>
          <w:b/>
          <w:bCs/>
          <w:rtl w:val="true"/>
        </w:rPr>
        <w:t>خارج تعريف السلوك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2.3</w:t>
      </w:r>
      <w:r>
        <w:rPr>
          <w:rtl w:val="true"/>
        </w:rPr>
        <w:t>)</w:t>
      </w:r>
      <w:r>
        <w:rPr>
          <w:rtl w:val="true"/>
        </w:rPr>
        <w:t>، فلا يُحتسب أي منها سلوكاً ضمنياً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48"/>
        </w:numPr>
        <w:bidi w:val="1"/>
        <w:rPr/>
      </w:pPr>
      <w:r>
        <w:rPr>
          <w:b/>
          <w:b/>
          <w:bCs/>
          <w:rtl w:val="true"/>
        </w:rPr>
        <w:t>التقييم الصريح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؛ والتقييم المجمّع على مستوى المقرر 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؛ والمصطنع 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49"/>
        </w:numPr>
        <w:bidi w:val="1"/>
        <w:rPr/>
      </w:pPr>
      <w:r>
        <w:rPr>
          <w:b/>
          <w:b/>
          <w:bCs/>
          <w:rtl w:val="true"/>
        </w:rPr>
        <w:t>استبيانات أسلوب التعلم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أكثر الإشارات استعمالاً فعلياً التسلسل والدرجات</w:t>
      </w:r>
      <w:r>
        <w:rPr>
          <w:rtl w:val="true"/>
        </w:rPr>
        <w:t xml:space="preserve">. </w:t>
      </w:r>
      <w:r>
        <w:rPr>
          <w:rtl w:val="true"/>
        </w:rPr>
        <w:t>أما الزمن والإكمال فقد ورد كثير منهما في أوراق اصطناعية أو تصميمية أو صغيرة</w:t>
      </w:r>
      <w:r>
        <w:rPr>
          <w:rtl w:val="true"/>
        </w:rPr>
        <w:t xml:space="preserve">. </w:t>
      </w:r>
      <w:r>
        <w:rPr>
          <w:rtl w:val="true"/>
        </w:rPr>
        <w:t xml:space="preserve">ولم تجمع ورقة واحدة النقر حسب النوع والتكرار عبر الأيام والحداثة في </w:t>
      </w:r>
      <w:r>
        <w:rPr>
          <w:b/>
          <w:b/>
          <w:bCs/>
          <w:rtl w:val="true"/>
        </w:rPr>
        <w:t>دالة تفضيل ضمني</w:t>
      </w:r>
      <w:r>
        <w:rPr>
          <w:rtl w:val="true"/>
        </w:rPr>
        <w:t xml:space="preserve"> واحدة، مقيَّمة بمقاييس ترتيب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أما ارتباط الإكمال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فمصدره مصنِّف بديل لا نموذج التوصية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3.4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64" w:name="__RefHeading___Toc14996_277087200"/>
      <w:bookmarkStart w:id="65" w:name="المقاييس-والبروتوكولات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المقاييس والبروتوكولات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تعريف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خط الأساس القوي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في هذا الفصل، الخط القوي هو خط </w:t>
      </w:r>
      <w:r>
        <w:rPr>
          <w:b/>
          <w:b/>
          <w:bCs/>
          <w:rtl w:val="true"/>
        </w:rPr>
        <w:t>الشعبية</w:t>
      </w:r>
      <w:r>
        <w:rPr>
          <w:rtl w:val="true"/>
        </w:rPr>
        <w:t xml:space="preserve"> مع خط </w:t>
      </w:r>
      <w:r>
        <w:rPr>
          <w:b/>
          <w:bCs/>
        </w:rPr>
        <w:t>kNN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MF</w:t>
      </w:r>
      <w:r>
        <w:rPr>
          <w:rtl w:val="true"/>
        </w:rPr>
        <w:t xml:space="preserve"> </w:t>
      </w:r>
      <w:r>
        <w:rPr>
          <w:rtl w:val="true"/>
        </w:rPr>
        <w:t>على الأقل، يُعاد تنفيذهما على التقسيم نفسه</w:t>
      </w:r>
      <w:r>
        <w:rPr>
          <w:rtl w:val="true"/>
        </w:rPr>
        <w:t xml:space="preserve">. </w:t>
      </w:r>
      <w:r>
        <w:rPr>
          <w:rtl w:val="true"/>
        </w:rPr>
        <w:t xml:space="preserve">ويُعدّ الخط </w:t>
      </w:r>
      <w:r>
        <w:rPr>
          <w:rtl w:val="true"/>
        </w:rPr>
        <w:t>«</w:t>
      </w:r>
      <w:r>
        <w:rPr>
          <w:rtl w:val="true"/>
        </w:rPr>
        <w:t>جزئياً</w:t>
      </w:r>
      <w:r>
        <w:rPr>
          <w:rtl w:val="true"/>
        </w:rPr>
        <w:t xml:space="preserve">» </w:t>
      </w:r>
      <w:r>
        <w:rPr>
          <w:rtl w:val="true"/>
        </w:rPr>
        <w:t>إن أُعيد تنفيذ خط خارجي معروف واحد على الأقل دون خط الشعبية</w:t>
      </w:r>
      <w:r>
        <w:rPr>
          <w:rtl w:val="true"/>
        </w:rPr>
        <w:t xml:space="preserve">. </w:t>
      </w:r>
      <w:r>
        <w:rPr>
          <w:rtl w:val="true"/>
        </w:rPr>
        <w:t>ويُطبَّق التعريف نفسه في المعيار ش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المقاييس والبروتوكولات في المجموعة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2"/>
        <w:gridCol w:w="2130"/>
        <w:gridCol w:w="5416"/>
      </w:tblGrid>
      <w:tr>
        <w:trPr>
          <w:tblHeader w:val="true"/>
        </w:trPr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أو البروتوكول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تغطية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خطأ تنبؤ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تجميع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مستخدمون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رضا، قبول، </w:t>
            </w: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 تراكمي، نسبة 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replay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مقاييس مخصّصة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توصية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تقسيم زمني عام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وشرائح زمنية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ونوافذ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ترك الأخير أو ترك واحد لكل مستخدم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 أو تحقق متقاطع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 في الاختبار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بجانب الكتالوج الكامل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كامل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مصرَّح به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ولم يُصرّح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دلالة إحصائية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لتجربة البدء البارد فقط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خطوط أساس قوية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التعريف أعلاه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الشعبية 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SASRec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LightGCN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جزئية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دون الشعبية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دراسة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تستعمل مقاييس الدقة التصنيفية، 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دراسة تستعمل مقاييس الخطأ</w:t>
      </w:r>
      <w:r>
        <w:rPr>
          <w:rtl w:val="true"/>
        </w:rPr>
        <w:t xml:space="preserve">. </w:t>
      </w:r>
      <w:r>
        <w:rPr>
          <w:rtl w:val="true"/>
        </w:rPr>
        <w:t xml:space="preserve">ولا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 xml:space="preserve">»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جاء خط الشعبية </w:t>
      </w:r>
      <w:r>
        <w:rPr>
          <w:b/>
          <w:b/>
          <w:bCs/>
          <w:rtl w:val="true"/>
        </w:rPr>
        <w:t>أعلى من النموذج المقترح</w:t>
      </w:r>
      <w:r>
        <w:rPr>
          <w:rtl w:val="true"/>
        </w:rPr>
        <w:t xml:space="preserve"> في </w:t>
      </w:r>
      <w:r>
        <w:rPr/>
        <w:t>NDCG@10</w:t>
      </w:r>
      <w:r>
        <w:rPr>
          <w:rtl w:val="true"/>
        </w:rPr>
        <w:t xml:space="preserve">. </w:t>
      </w:r>
      <w:r>
        <w:rPr>
          <w:rtl w:val="true"/>
        </w:rPr>
        <w:t>ولا يُصرّح أي مرجع بالجمع بين التقسيم الزمني والترتيب على الكتالوج الكامل</w:t>
      </w:r>
      <w:r>
        <w:rPr>
          <w:rtl w:val="true"/>
        </w:rPr>
        <w:t>.</w:t>
      </w:r>
      <w:bookmarkEnd w:id="59"/>
      <w:bookmarkEnd w:id="65"/>
    </w:p>
    <w:p>
      <w:pPr>
        <w:pStyle w:val="Heading1"/>
        <w:bidi w:val="1"/>
        <w:rPr/>
      </w:pPr>
      <w:bookmarkStart w:id="66" w:name="__RefHeading___Toc14998_277087200"/>
      <w:bookmarkStart w:id="67" w:name="النقد-المنهجي-وجودة-الأدلة"/>
      <w:bookmarkEnd w:id="66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النقد المنهجي وجودة الأدلة</w:t>
      </w:r>
    </w:p>
    <w:p>
      <w:pPr>
        <w:pStyle w:val="Normal"/>
        <w:bidi w:val="1"/>
        <w:rPr/>
      </w:pPr>
      <w:r>
        <w:rPr>
          <w:rtl w:val="true"/>
        </w:rPr>
        <w:t>يستند هذا القسم إلى تقرير المصداقية وإلى الملاحظات التي وثّقها المحللون في بطاقاتهم</w:t>
      </w:r>
      <w:r>
        <w:rPr>
          <w:rtl w:val="true"/>
        </w:rPr>
        <w:t xml:space="preserve">. </w:t>
      </w:r>
      <w:r>
        <w:rPr>
          <w:rtl w:val="true"/>
        </w:rPr>
        <w:t xml:space="preserve">والغرض منه تقدير </w:t>
      </w:r>
      <w:r>
        <w:rPr>
          <w:b/>
          <w:b/>
          <w:bCs/>
          <w:rtl w:val="true"/>
        </w:rPr>
        <w:t>وزن كل دليل</w:t>
      </w:r>
      <w:r>
        <w:rPr>
          <w:rtl w:val="true"/>
        </w:rPr>
        <w:t>، لا الحكم على المؤلفين</w:t>
      </w:r>
      <w:r>
        <w:rPr>
          <w:rtl w:val="true"/>
        </w:rPr>
        <w:t xml:space="preserve">. </w:t>
      </w:r>
      <w:r>
        <w:rPr>
          <w:rtl w:val="true"/>
        </w:rPr>
        <w:t xml:space="preserve">ولذلك تُنقل الملاحظات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يُلاحَظ تباين</w:t>
      </w:r>
      <w:r>
        <w:rPr>
          <w:rtl w:val="true"/>
        </w:rPr>
        <w:t>».</w:t>
      </w:r>
    </w:p>
    <w:p>
      <w:pPr>
        <w:pStyle w:val="Heading2"/>
        <w:bidi w:val="1"/>
        <w:rPr/>
      </w:pPr>
      <w:bookmarkStart w:id="68" w:name="__RefHeading___Toc15000_277087200"/>
      <w:bookmarkStart w:id="69" w:name="مصداقية-الأوعية"/>
      <w:bookmarkEnd w:id="68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مصداقية الأوعية</w:t>
      </w:r>
    </w:p>
    <w:p>
      <w:pPr>
        <w:pStyle w:val="Normal"/>
        <w:bidi w:val="1"/>
        <w:rPr/>
      </w:pPr>
      <w:r>
        <w:rPr>
          <w:rtl w:val="true"/>
        </w:rPr>
        <w:t>من المراجع الـ</w:t>
      </w:r>
      <w:r>
        <w:rPr/>
        <w:t>38</w:t>
      </w:r>
      <w:r>
        <w:rPr>
          <w:rtl w:val="true"/>
        </w:rPr>
        <w:t xml:space="preserve">: </w:t>
      </w:r>
      <w:r>
        <w:rPr/>
        <w:t>18</w:t>
      </w:r>
      <w:r>
        <w:rPr>
          <w:rtl w:val="true"/>
        </w:rPr>
        <w:t xml:space="preserve"> </w:t>
      </w:r>
      <w:r>
        <w:rPr>
          <w:rtl w:val="true"/>
        </w:rPr>
        <w:t>موثوقة، 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مقبولة بحذر، وواحد مشكوك، وأربعة لم يُتحقَّق منها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>ويُلاحَظ ما يأتي</w:t>
      </w:r>
      <w:r>
        <w:rPr>
          <w:rtl w:val="true"/>
        </w:rPr>
        <w:t>:</w:t>
      </w:r>
    </w:p>
    <w:p>
      <w:pPr>
        <w:pStyle w:val="Compact"/>
        <w:numPr>
          <w:ilvl w:val="0"/>
          <w:numId w:val="150"/>
        </w:numPr>
        <w:bidi w:val="1"/>
        <w:rPr/>
      </w:pPr>
      <w:r>
        <w:rPr>
          <w:b/>
          <w:b/>
          <w:bCs/>
          <w:rtl w:val="true"/>
        </w:rPr>
        <w:t>مرجع واحد مشكوك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>، لأن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المطبوع فيه غير مكتمل ولم يُعثر على الوعاء في أي مصدر</w:t>
      </w:r>
      <w:r>
        <w:rPr>
          <w:rtl w:val="true"/>
        </w:rPr>
        <w:t>.</w:t>
      </w:r>
    </w:p>
    <w:p>
      <w:pPr>
        <w:pStyle w:val="Compact"/>
        <w:numPr>
          <w:ilvl w:val="0"/>
          <w:numId w:val="151"/>
        </w:numPr>
        <w:bidi w:val="1"/>
        <w:rPr/>
      </w:pPr>
      <w:r>
        <w:rPr>
          <w:b/>
          <w:b/>
          <w:bCs/>
          <w:rtl w:val="true"/>
        </w:rPr>
        <w:t>أربعة مراجع لم يُتحقَّق منها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على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 xml:space="preserve">في نتائج البحث، ولم يوجد دليل على فهرسة وعاءي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152"/>
        </w:numPr>
        <w:bidi w:val="1"/>
        <w:rPr/>
      </w:pPr>
      <w:r>
        <w:rPr>
          <w:b/>
          <w:b/>
          <w:bCs/>
          <w:rtl w:val="true"/>
        </w:rPr>
        <w:t>أوعية حُذفت من فهرس أو أُغلقت للتقديم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من وعاء حُذف من </w:t>
      </w:r>
      <w:r>
        <w:rPr/>
        <w:t>WoS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2023</w:t>
      </w:r>
      <w:r>
        <w:rPr>
          <w:rtl w:val="true"/>
        </w:rPr>
        <w:t xml:space="preserve"> </w:t>
      </w:r>
      <w:r>
        <w:rPr>
          <w:rtl w:val="true"/>
        </w:rPr>
        <w:t xml:space="preserve">وأُغلق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 xml:space="preserve">من مجلة مغلقة للتقديم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من الناشر نفسه بحالة فهرسة غير مؤكدة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3"/>
        </w:numPr>
        <w:bidi w:val="1"/>
        <w:rPr/>
      </w:pPr>
      <w:r>
        <w:rPr>
          <w:b/>
          <w:b/>
          <w:bCs/>
          <w:rtl w:val="true"/>
        </w:rPr>
        <w:t>فهرسة بتصريح ذاتي أو ثانوي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IJACSA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الذي يلتبس اسم وعائه بوعاء آخر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أيضاً أن </w:t>
      </w:r>
      <w:r>
        <w:rPr>
          <w:b/>
          <w:b/>
          <w:bCs/>
          <w:rtl w:val="true"/>
        </w:rPr>
        <w:t>حكم الوعاء لا يضمن جودة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 xml:space="preserve">منشور في </w:t>
      </w:r>
      <w:r>
        <w:rPr/>
        <w:t>IEEE Access</w:t>
      </w:r>
      <w:r>
        <w:rPr>
          <w:rtl w:val="true"/>
        </w:rPr>
        <w:t xml:space="preserve">، لكن نصه تضمّن فقرات لا تخص مجاله </w:t>
      </w:r>
      <w:r>
        <w:rPr>
          <w:rtl w:val="true"/>
        </w:rPr>
        <w:t>(</w:t>
      </w:r>
      <w:r>
        <w:rPr>
          <w:rtl w:val="true"/>
        </w:rPr>
        <w:t>عبارات عن التنبؤ بأحمال الحوسبة السحابية في نتائج توصية أدبية</w:t>
      </w:r>
      <w:r>
        <w:rPr>
          <w:rtl w:val="true"/>
        </w:rPr>
        <w:t>)</w:t>
      </w:r>
      <w:r>
        <w:rPr>
          <w:rtl w:val="true"/>
        </w:rPr>
        <w:t>، وأرقاماً لخطوط الأساس تتغير بين الفقرات، وصيغة للدقة غير مطابقة للتعريف المعتاد</w:t>
      </w:r>
      <w:r>
        <w:rPr>
          <w:rtl w:val="true"/>
        </w:rPr>
        <w:t xml:space="preserve">. </w:t>
      </w:r>
      <w:r>
        <w:rPr>
          <w:rtl w:val="true"/>
        </w:rPr>
        <w:t xml:space="preserve">وفي الاتجاه المعاكس، فإن 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منشور في وعاء لم يُتحقَّق منه، لكنه من أكثر الأوراق صراحةً في الإبلاغ عن نتائج لا تخدم نموذجه</w:t>
      </w:r>
      <w:r>
        <w:rPr>
          <w:rtl w:val="true"/>
        </w:rPr>
        <w:t>.</w:t>
      </w:r>
      <w:bookmarkEnd w:id="69"/>
    </w:p>
    <w:p>
      <w:pPr>
        <w:pStyle w:val="Heading2"/>
        <w:bidi w:val="1"/>
        <w:rPr/>
      </w:pPr>
      <w:bookmarkStart w:id="70" w:name="__RefHeading___Toc15002_277087200"/>
      <w:bookmarkStart w:id="71" w:name="تباينات-رقمية-موثقة"/>
      <w:bookmarkEnd w:id="70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تباينات رقمية موثّقة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التباينات بين أجزاء الورقة الواحدة كما رصدها المحللون، ويشمل المراجع التي تحمل وزناً في نقطة الانطلاق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تباينات رقمية داخلية وثّقها المحللون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7998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التباين الملاحَظ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يقول النص إن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الدقة، وتُظهر الجداول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المستخدمين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عدد الجلسات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99.7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64.3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عدم توازن فئات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وأرقام الشكل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تتسق مع الجدول 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تحسناً فعلياً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يُظهر انخفاض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صفوف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لنموذج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متطابقة تماماً بين الجدولين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الملخص و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النتائج؛ </w:t>
            </w: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مقابل </w:t>
            </w:r>
            <w:r>
              <w:rPr>
                <w:kern w:val="0"/>
                <w:lang w:val="en-US" w:eastAsia="en-US" w:bidi="ar-SA"/>
              </w:rPr>
              <w:t>3.2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مليون؛ نسب تحسن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للفرق نفسه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الأوزان المعروضة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0.30/0.32/0.38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تطابق صيغة الأوزان العكسية؛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مرة </w:t>
            </w:r>
            <w:r>
              <w:rPr>
                <w:kern w:val="0"/>
                <w:lang w:val="en-US" w:eastAsia="en-US" w:bidi="ar-SA"/>
              </w:rPr>
              <w:t>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0.22</w:t>
            </w:r>
            <w:r>
              <w:rPr>
                <w:kern w:val="0"/>
                <w:rtl w:val="true"/>
                <w:lang w:val="en-US" w:eastAsia="en-US" w:bidi="ar-SA"/>
              </w:rPr>
              <w:t>؛ ومعدل تفاعل واحد لكل متعلم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حدّ نظري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البروتوكول المعرَّف؛ </w:t>
            </w:r>
            <w:r>
              <w:rPr>
                <w:kern w:val="0"/>
                <w:lang w:val="en-US" w:eastAsia="en-US" w:bidi="ar-SA"/>
              </w:rPr>
              <w:t>8,000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 مقابل </w:t>
            </w:r>
            <w:r>
              <w:rPr>
                <w:kern w:val="0"/>
                <w:lang w:val="en-US" w:eastAsia="en-US" w:bidi="ar-SA"/>
              </w:rPr>
              <w:t>80,000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تقييماً مقابل </w:t>
            </w:r>
            <w:r>
              <w:rPr>
                <w:kern w:val="0"/>
                <w:lang w:val="en-US" w:eastAsia="en-US" w:bidi="ar-SA"/>
              </w:rPr>
              <w:t>443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تباين طفيف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تفوّق الطريقة في استهلاك الذاكرة، والنتائج تُظهر استهلاكاً أكبر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22,618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24,674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21,722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23,896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KB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المسافة الإقليدية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غير مطابقة لتعريفها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مقابل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متعلماً و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خانة؛ و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قيم ولّدتها دالة التقدير نفسها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92.8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الملخص على بيانات اصطناعية، مقابل عدم التفوق على الشعبية في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وتعارض بين قسم النتائج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rtl w:val="true"/>
                <w:lang w:val="en-US" w:eastAsia="en-US" w:bidi="ar-SA"/>
              </w:rPr>
              <w:t>الأفضل في كل المقاييس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وقسم </w:t>
            </w:r>
            <w:r>
              <w:rPr>
                <w:kern w:val="0"/>
                <w:lang w:val="en-US" w:eastAsia="en-US" w:bidi="ar-SA"/>
              </w:rPr>
              <w:t>OULAD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بعض الصفوف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FM: HR@10 = 0.014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0.266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وهذا غير ممكن حسابياً؛ وأحجام </w:t>
            </w: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متناقضة؛ و</w:t>
            </w:r>
            <w:r>
              <w:rPr>
                <w:kern w:val="0"/>
                <w:lang w:val="en-US" w:eastAsia="en-US" w:bidi="ar-SA"/>
              </w:rPr>
              <w:t>HR@10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</w:t>
            </w:r>
            <w:r>
              <w:rPr>
                <w:kern w:val="0"/>
                <w:lang w:val="en-US" w:eastAsia="en-US" w:bidi="ar-SA"/>
              </w:rPr>
              <w:t>0.662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 و</w:t>
            </w:r>
            <w:r>
              <w:rPr>
                <w:kern w:val="0"/>
                <w:lang w:val="en-US" w:eastAsia="en-US" w:bidi="ar-SA"/>
              </w:rPr>
              <w:t>0.622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قيمة </w:t>
            </w:r>
            <w:r>
              <w:rPr>
                <w:kern w:val="0"/>
                <w:lang w:val="en-US" w:eastAsia="en-US" w:bidi="ar-SA"/>
              </w:rPr>
              <w:t>Hit@10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Amazon_Books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تطابق قيمة عمود آخر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ويُذكر التفوق على كل المجموعات رغم انخفاض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ml-100k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Cox: χ² = 6124.84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بسبع درجات حرية مع </w:t>
            </w:r>
            <w:r>
              <w:rPr>
                <w:kern w:val="0"/>
                <w:lang w:val="en-US" w:eastAsia="en-US" w:bidi="ar-SA"/>
              </w:rPr>
              <w:t>p = 0.025</w:t>
            </w:r>
            <w:r>
              <w:rPr>
                <w:kern w:val="0"/>
                <w:rtl w:val="true"/>
                <w:lang w:val="en-US" w:eastAsia="en-US" w:bidi="ar-SA"/>
              </w:rPr>
              <w:t>، وهذا غير ممكن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المستخدمين تحسب </w:t>
            </w:r>
            <w:r>
              <w:rPr>
                <w:kern w:val="0"/>
                <w:lang w:val="en-US" w:eastAsia="en-US" w:bidi="ar-SA"/>
              </w:rPr>
              <w:t>Precision@10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بقسمة الإصابات على عدد الموصى 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57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أكثر من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فتتجاوز </w:t>
            </w:r>
            <w:r>
              <w:rPr>
                <w:kern w:val="0"/>
                <w:lang w:val="en-US" w:eastAsia="en-US" w:bidi="ar-SA"/>
              </w:rPr>
              <w:t>0.8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بينما الدقة العامة </w:t>
            </w:r>
            <w:r>
              <w:rPr>
                <w:kern w:val="0"/>
                <w:lang w:val="en-US" w:eastAsia="en-US" w:bidi="ar-SA"/>
              </w:rPr>
              <w:t>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وقيمة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Accuracy@5 = 92%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تتكرر فيها </w:t>
            </w:r>
            <w:r>
              <w:rPr>
                <w:kern w:val="0"/>
                <w:rtl w:val="true"/>
                <w:lang w:val="en-US" w:eastAsia="en-US" w:bidi="ar-SA"/>
              </w:rPr>
              <w:t>«@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لثلاث قيم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يُفترض 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أرقام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متغيرة بين الفقرات؛ وفقرات لا تخص المجال؛ والحقبة التي بلغت فيها الدقة </w:t>
            </w:r>
            <w:r>
              <w:rPr>
                <w:kern w:val="0"/>
                <w:lang w:val="en-US" w:eastAsia="en-US" w:bidi="ar-SA"/>
              </w:rPr>
              <w:t>95.23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ترد مرة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يشير تقرير المصداقية إلى أن دقة </w:t>
            </w:r>
            <w:r>
              <w:rPr>
                <w:kern w:val="0"/>
                <w:lang w:val="en-US" w:eastAsia="en-US" w:bidi="ar-SA"/>
              </w:rPr>
              <w:t>89.12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مجموعة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Cognitive Patterns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تحتاج تحققاً من مصدر المجموعة، والهويات غير متطابقة بين المجموعات الأربع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طلاب مقابل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مقابل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أي رقم من هذه المراجع يُستعمل في الرسالة يجب أن يُنقل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مع ذكر التحفظ، وألّا يُتخذ معياراً قاطعاً للمقارنة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ومن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يؤخذ </w:t>
      </w:r>
      <w:r>
        <w:rPr>
          <w:b/>
          <w:b/>
          <w:bCs/>
          <w:rtl w:val="true"/>
        </w:rPr>
        <w:t>مخطط الأوزان فقط</w:t>
      </w:r>
      <w:r>
        <w:rPr>
          <w:rtl w:val="true"/>
        </w:rPr>
        <w:t xml:space="preserve">، لا أرقام </w:t>
      </w:r>
      <w:r>
        <w:rPr/>
        <w:t>Precision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Accuracy</w:t>
      </w:r>
      <w:r>
        <w:rPr>
          <w:rtl w:val="true"/>
        </w:rPr>
        <w:t>.</w:t>
      </w:r>
      <w:bookmarkEnd w:id="71"/>
    </w:p>
    <w:p>
      <w:pPr>
        <w:pStyle w:val="Heading2"/>
        <w:bidi w:val="1"/>
        <w:rPr/>
      </w:pPr>
      <w:bookmarkStart w:id="72" w:name="__RefHeading___Toc15004_277087200"/>
      <w:bookmarkStart w:id="73" w:name="البيانات-الاصطناعية-وغير-الموصوفة"/>
      <w:bookmarkEnd w:id="72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>البيانات الاصطناعية وغير الموصوفة</w:t>
      </w:r>
    </w:p>
    <w:p>
      <w:pPr>
        <w:pStyle w:val="Normal"/>
        <w:bidi w:val="1"/>
        <w:rPr/>
      </w:pPr>
      <w:r>
        <w:rPr>
          <w:rtl w:val="true"/>
        </w:rPr>
        <w:t>اعتمدت عدة دراسات على تفاعلات مولَّدة أو بيانات غير موصوفة</w:t>
      </w:r>
      <w:r>
        <w:rPr>
          <w:rtl w:val="true"/>
        </w:rPr>
        <w:t>:</w:t>
      </w:r>
    </w:p>
    <w:p>
      <w:pPr>
        <w:pStyle w:val="Compact"/>
        <w:numPr>
          <w:ilvl w:val="0"/>
          <w:numId w:val="154"/>
        </w:numPr>
        <w:bidi w:val="1"/>
        <w:rPr/>
      </w:pPr>
      <w:r>
        <w:rPr>
          <w:b/>
          <w:b/>
          <w:bCs/>
          <w:rtl w:val="true"/>
        </w:rPr>
        <w:t>تفاعلات مولَّدة باعتراف المؤلفين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وجزء من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مستخدم مُحاكى</w:t>
      </w:r>
      <w:r>
        <w:rPr>
          <w:rtl w:val="true"/>
        </w:rPr>
        <w:t>.</w:t>
      </w:r>
    </w:p>
    <w:p>
      <w:pPr>
        <w:pStyle w:val="Compact"/>
        <w:numPr>
          <w:ilvl w:val="0"/>
          <w:numId w:val="155"/>
        </w:numPr>
        <w:bidi w:val="1"/>
        <w:rPr/>
      </w:pPr>
      <w:r>
        <w:rPr>
          <w:b/>
          <w:b/>
          <w:bCs/>
          <w:rtl w:val="true"/>
        </w:rPr>
        <w:t>بيانات بلا سلوك فعلي رغم الادعاء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>كتالوجات مقررات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‏</w:t>
      </w:r>
      <w:r>
        <w:rPr/>
        <w:t>5,000</w:t>
      </w:r>
      <w:r>
        <w:rPr>
          <w:rtl w:val="true"/>
        </w:rPr>
        <w:t xml:space="preserve"> </w:t>
      </w:r>
      <w:r>
        <w:rPr>
          <w:rtl w:val="true"/>
        </w:rPr>
        <w:t>تفاعل لا يُتوقع أن تحوي الجهاز والموقع ومدة الجلسة المدّعاة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6"/>
        </w:numPr>
        <w:bidi w:val="1"/>
        <w:rPr/>
      </w:pPr>
      <w:r>
        <w:rPr>
          <w:b/>
          <w:b/>
          <w:bCs/>
          <w:rtl w:val="true"/>
        </w:rPr>
        <w:t>بيانات غير موصوفة أو غائبة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بلا وصف للبيانات، و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>بلا 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157"/>
        </w:numPr>
        <w:bidi w:val="1"/>
        <w:rPr/>
      </w:pPr>
      <w:r>
        <w:rPr>
          <w:b/>
          <w:b/>
          <w:bCs/>
          <w:rtl w:val="true"/>
        </w:rPr>
        <w:t>أصل غير مؤكد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والخطر المنهجي هنا </w:t>
      </w:r>
      <w:r>
        <w:rPr>
          <w:b/>
          <w:b/>
          <w:bCs/>
          <w:rtl w:val="true"/>
        </w:rPr>
        <w:t>دائري</w:t>
      </w:r>
      <w:r>
        <w:rPr>
          <w:rtl w:val="true"/>
        </w:rPr>
        <w:t xml:space="preserve">. </w:t>
      </w:r>
      <w:r>
        <w:rPr>
          <w:rtl w:val="true"/>
        </w:rPr>
        <w:t>فحين تُولَّد الإشارات بتوزيعات معيّنة ثم تُستعمل هي نفسها ميزاتٍ ومصدراً لوسوم الصلة، تأتي المقاييس مرتفعة ارتفاعاً مصطنعاً</w:t>
      </w:r>
      <w:r>
        <w:rPr>
          <w:rtl w:val="true"/>
        </w:rPr>
        <w:t xml:space="preserve">. </w:t>
      </w:r>
      <w:r>
        <w:rPr>
          <w:rtl w:val="true"/>
        </w:rPr>
        <w:t xml:space="preserve">وقد نبّه المحللان إلى هذا الخطر 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 (</w:t>
      </w:r>
      <w:r>
        <w:rPr/>
        <w:t>NDCG@10 = 0.85</w:t>
      </w:r>
      <w:r>
        <w:rPr>
          <w:rtl w:val="true"/>
        </w:rPr>
        <w:t xml:space="preserve">)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 (</w:t>
      </w:r>
      <w:r>
        <w:rPr/>
        <w:t>RMSE = 0.045</w:t>
      </w:r>
      <w:r>
        <w:rPr>
          <w:rtl w:val="true"/>
        </w:rPr>
        <w:t xml:space="preserve"> </w:t>
      </w:r>
      <w:r>
        <w:rPr>
          <w:rtl w:val="true"/>
        </w:rPr>
        <w:t xml:space="preserve">مقابل نحو </w:t>
      </w:r>
      <w:r>
        <w:rPr/>
        <w:t>0.29</w:t>
      </w:r>
      <w:r>
        <w:rPr>
          <w:rtl w:val="true"/>
        </w:rPr>
        <w:t xml:space="preserve"> </w:t>
      </w:r>
      <w:r>
        <w:rPr>
          <w:rtl w:val="true"/>
        </w:rPr>
        <w:t>لخطوط الأساس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يقع الخطر نفسه، لأن التقييم جرى على قيم ولّدتها دالة التقدير</w:t>
      </w:r>
      <w:r>
        <w:rPr>
          <w:rtl w:val="true"/>
        </w:rPr>
        <w:t>.</w:t>
      </w:r>
      <w:bookmarkEnd w:id="73"/>
    </w:p>
    <w:p>
      <w:pPr>
        <w:pStyle w:val="Heading2"/>
        <w:bidi w:val="1"/>
        <w:rPr/>
      </w:pPr>
      <w:bookmarkStart w:id="74" w:name="__RefHeading___Toc15006_277087200"/>
      <w:bookmarkStart w:id="75" w:name="بروتوكولات-تقييم-غير-متكافئة"/>
      <w:bookmarkEnd w:id="74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>بروتوكولات تقييم غير متكافئة</w:t>
      </w:r>
    </w:p>
    <w:p>
      <w:pPr>
        <w:pStyle w:val="Normal"/>
        <w:bidi w:val="1"/>
        <w:rPr/>
      </w:pPr>
      <w:r>
        <w:rPr>
          <w:rtl w:val="true"/>
        </w:rPr>
        <w:t>تتكرر في المجموعة ستة أنماط من التقييم غير المتكافئ</w:t>
      </w:r>
      <w:r>
        <w:rPr>
          <w:rtl w:val="true"/>
        </w:rPr>
        <w:t>:</w:t>
      </w:r>
    </w:p>
    <w:p>
      <w:pPr>
        <w:pStyle w:val="Compact"/>
        <w:numPr>
          <w:ilvl w:val="0"/>
          <w:numId w:val="158"/>
        </w:numPr>
        <w:bidi w:val="1"/>
        <w:rPr/>
      </w:pPr>
      <w:r>
        <w:rPr>
          <w:b/>
          <w:b/>
          <w:bCs/>
          <w:rtl w:val="true"/>
        </w:rPr>
        <w:t>الترتيب بين عيّنة صغيرة من السوالب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يضخّم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 xml:space="preserve">كما وثّق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داخلياً، وقد لا يحفظ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وتعتمد عليه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159"/>
        </w:numPr>
        <w:bidi w:val="1"/>
        <w:rPr/>
      </w:pPr>
      <w:r>
        <w:rPr>
          <w:b/>
          <w:b/>
          <w:bCs/>
          <w:rtl w:val="true"/>
        </w:rPr>
        <w:t>خطوط أساس من مجال آخر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بنموذجين من توصية الوظائف</w:t>
      </w:r>
      <w:r>
        <w:rPr>
          <w:rtl w:val="true"/>
        </w:rPr>
        <w:t>.</w:t>
      </w:r>
    </w:p>
    <w:p>
      <w:pPr>
        <w:pStyle w:val="Compact"/>
        <w:numPr>
          <w:ilvl w:val="0"/>
          <w:numId w:val="160"/>
        </w:numPr>
        <w:bidi w:val="1"/>
        <w:rPr/>
      </w:pPr>
      <w:r>
        <w:rPr>
          <w:b/>
          <w:b/>
          <w:bCs/>
          <w:rtl w:val="true"/>
        </w:rPr>
        <w:t>خطوط أساس داخلية فقط</w:t>
      </w:r>
      <w:r>
        <w:rPr>
          <w:rtl w:val="true"/>
        </w:rPr>
        <w:t>، أي مكوّنات النظام نفسه</w:t>
      </w:r>
      <w:r>
        <w:rPr>
          <w:rtl w:val="true"/>
        </w:rPr>
        <w:t>: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61"/>
        </w:numPr>
        <w:bidi w:val="1"/>
        <w:rPr/>
      </w:pPr>
      <w:r>
        <w:rPr>
          <w:b/>
          <w:b/>
          <w:bCs/>
          <w:rtl w:val="true"/>
        </w:rPr>
        <w:t>المقارنة بأرقام منقولة من أوراق أخرى</w:t>
      </w:r>
      <w:r>
        <w:rPr>
          <w:rtl w:val="true"/>
        </w:rPr>
        <w:t xml:space="preserve"> على بيانات مختلفة</w:t>
      </w:r>
      <w:r>
        <w:rPr>
          <w:rtl w:val="true"/>
        </w:rPr>
        <w:t xml:space="preserve">: </w:t>
      </w:r>
      <w:r>
        <w:rPr>
          <w:rtl w:val="true"/>
        </w:rPr>
        <w:t xml:space="preserve">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والجدول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والأرقام المنسوبة إلى </w:t>
      </w:r>
      <w:r>
        <w:rPr/>
        <w:t>RecBERT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RoBERTa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162"/>
        </w:numPr>
        <w:bidi w:val="1"/>
        <w:rPr/>
      </w:pPr>
      <w:r>
        <w:rPr>
          <w:b/>
          <w:b/>
          <w:bCs/>
          <w:rtl w:val="true"/>
        </w:rPr>
        <w:t>مقاييس تصنيفية لمسألة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Accuracy@k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].</w:t>
      </w:r>
    </w:p>
    <w:p>
      <w:pPr>
        <w:pStyle w:val="Compact"/>
        <w:numPr>
          <w:ilvl w:val="0"/>
          <w:numId w:val="163"/>
        </w:numPr>
        <w:bidi w:val="1"/>
        <w:rPr/>
      </w:pPr>
      <w:r>
        <w:rPr>
          <w:b/>
          <w:b/>
          <w:bCs/>
          <w:rtl w:val="true"/>
        </w:rPr>
        <w:t>غياب خطوط الأساس كلياً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75"/>
    </w:p>
    <w:p>
      <w:pPr>
        <w:pStyle w:val="Heading2"/>
        <w:bidi w:val="1"/>
        <w:rPr/>
      </w:pPr>
      <w:bookmarkStart w:id="76" w:name="__RefHeading___Toc15008_277087200"/>
      <w:bookmarkStart w:id="77" w:name="Xbdb3a6550ea8e7d460ad33ad50b389d1faed78f"/>
      <w:bookmarkEnd w:id="76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غياب خطوط الأساس القوية والدلالة الإحصائية</w:t>
      </w:r>
    </w:p>
    <w:p>
      <w:pPr>
        <w:pStyle w:val="Normal"/>
        <w:bidi w:val="1"/>
        <w:rPr/>
      </w:pPr>
      <w:r>
        <w:rPr>
          <w:rtl w:val="true"/>
        </w:rPr>
        <w:t xml:space="preserve">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4.4</w:t>
      </w:r>
      <w:r>
        <w:rPr>
          <w:rtl w:val="true"/>
        </w:rPr>
        <w:t xml:space="preserve">)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]. </w:t>
      </w:r>
      <w:r>
        <w:rPr>
          <w:rtl w:val="true"/>
        </w:rPr>
        <w:t xml:space="preserve">وفي ستة مراجع أخرى خطوط أساس جزئية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أين تعادل الطرائقُ البسيطة المعقدةَ أو تتفوق عليها؟</w:t>
      </w:r>
      <w:r>
        <w:rPr>
          <w:rtl w:val="true"/>
        </w:rPr>
        <w:t xml:space="preserve"> كما أورد المؤلفون</w:t>
      </w:r>
      <w:r>
        <w:rPr>
          <w:rtl w:val="true"/>
        </w:rPr>
        <w:t>:</w:t>
      </w:r>
    </w:p>
    <w:p>
      <w:pPr>
        <w:pStyle w:val="Compact"/>
        <w:numPr>
          <w:ilvl w:val="0"/>
          <w:numId w:val="164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تفوّقت </w:t>
      </w:r>
      <w:r>
        <w:rPr/>
        <w:t>V-SKNN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IKNN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المقاييس المنشورة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6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جاء خط الشعبية أعلى من الهجين المقترح في </w:t>
      </w:r>
      <w:r>
        <w:rPr/>
        <w:t>NDCG@10</w:t>
      </w:r>
      <w:r>
        <w:rPr>
          <w:rtl w:val="true"/>
        </w:rPr>
        <w:t xml:space="preserve"> (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>).</w:t>
      </w:r>
    </w:p>
    <w:p>
      <w:pPr>
        <w:pStyle w:val="Compact"/>
        <w:numPr>
          <w:ilvl w:val="0"/>
          <w:numId w:val="16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9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الكلاسيكي في الجودة على الهجين</w:t>
      </w:r>
      <w:r>
        <w:rPr>
          <w:rtl w:val="true"/>
        </w:rPr>
        <w:t>.</w:t>
      </w:r>
    </w:p>
    <w:p>
      <w:pPr>
        <w:pStyle w:val="Compact"/>
        <w:numPr>
          <w:ilvl w:val="0"/>
          <w:numId w:val="16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13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نموذج عميق منفرد على الهجين في </w:t>
      </w:r>
      <w:r>
        <w:rPr/>
        <w:t>MAE</w:t>
      </w:r>
      <w:r>
        <w:rPr>
          <w:rtl w:val="true"/>
        </w:rPr>
        <w:t xml:space="preserve">، 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6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(✅) </w:t>
      </w:r>
      <w:r>
        <w:rPr>
          <w:b/>
          <w:b/>
          <w:bCs/>
          <w:rtl w:val="true"/>
        </w:rPr>
        <w:t>مختلف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هنا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المقترح هو الأفضل في كل المقاييس</w:t>
      </w:r>
      <w:r>
        <w:rPr>
          <w:rtl w:val="true"/>
        </w:rPr>
        <w:t xml:space="preserve">. </w:t>
      </w:r>
      <w:r>
        <w:rPr>
          <w:rtl w:val="true"/>
        </w:rPr>
        <w:t xml:space="preserve">والتنقيح الجشع يحقق الجزء الأكبر من مكسبه </w:t>
      </w:r>
      <w:r>
        <w:rPr>
          <w:rtl w:val="true"/>
        </w:rPr>
        <w:t>(</w:t>
      </w:r>
      <w:r>
        <w:rPr/>
        <w:t>0.7744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0.7968</w:t>
      </w:r>
      <w:r>
        <w:rPr>
          <w:rtl w:val="true"/>
        </w:rPr>
        <w:t xml:space="preserve">، والأساس </w:t>
      </w:r>
      <w:r>
        <w:rPr/>
        <w:t>NAIS = 0.6905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دون أن يعادله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وتشير دراسة خارج المجموعة إلى أن نماذج توصية عصبونية حديثة كثيراً ما لم تتفوق على خطوط أساس بسيطة مضبوطة جيداً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ولم تذكر أكثر الدراسات اختبار دلالة أو تكراراً ببذور عشوائية متعددة، والاستثناءات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  <w:bookmarkEnd w:id="77"/>
    </w:p>
    <w:p>
      <w:pPr>
        <w:pStyle w:val="Heading2"/>
        <w:bidi w:val="1"/>
        <w:rPr/>
      </w:pPr>
      <w:bookmarkStart w:id="78" w:name="__RefHeading___Toc15010_277087200"/>
      <w:bookmarkStart w:id="79" w:name="دروس-لتصميم-تجارب-الرسالة"/>
      <w:bookmarkEnd w:id="78"/>
      <w:r>
        <w:rPr/>
        <w:t>5.6</w:t>
      </w:r>
      <w:r>
        <w:rPr>
          <w:rtl w:val="true"/>
        </w:rPr>
        <w:t xml:space="preserve"> </w:t>
      </w:r>
      <w:r>
        <w:rPr>
          <w:rtl w:val="true"/>
        </w:rPr>
        <w:t>دروس لتصميم تجارب الرسالة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من القسمين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الدروس الآتية</w:t>
      </w:r>
      <w:r>
        <w:rPr>
          <w:rtl w:val="true"/>
        </w:rPr>
        <w:t xml:space="preserve">. </w:t>
      </w:r>
      <w:r>
        <w:rPr>
          <w:rtl w:val="true"/>
        </w:rPr>
        <w:t xml:space="preserve">وقد اعتُمدت في </w:t>
      </w:r>
      <w:r>
        <w:rPr/>
        <w:t>ADR-002</w:t>
      </w:r>
      <w:r>
        <w:rPr>
          <w:rtl w:val="true"/>
        </w:rPr>
        <w:t xml:space="preserve"> (</w:t>
      </w:r>
      <w:r>
        <w:rPr/>
        <w:t>D-10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D-14</w:t>
      </w:r>
      <w:r>
        <w:rPr>
          <w:rtl w:val="true"/>
        </w:rPr>
        <w:t>)</w:t>
      </w:r>
      <w:r>
        <w:rPr>
          <w:rtl w:val="true"/>
        </w:rPr>
        <w:t>، ويُذكر بجانب كل درس موضع اعتماده</w:t>
      </w:r>
      <w:r>
        <w:rPr>
          <w:rtl w:val="true"/>
        </w:rPr>
        <w:t>:</w:t>
      </w:r>
    </w:p>
    <w:p>
      <w:pPr>
        <w:pStyle w:val="Compact"/>
        <w:numPr>
          <w:ilvl w:val="0"/>
          <w:numId w:val="169"/>
        </w:numPr>
        <w:bidi w:val="1"/>
        <w:rPr/>
      </w:pPr>
      <w:r>
        <w:rPr>
          <w:b/>
          <w:b/>
          <w:bCs/>
          <w:rtl w:val="true"/>
        </w:rPr>
        <w:t>بيانات عامة بسجلات سلوك حقيقية،</w:t>
      </w:r>
      <w:r>
        <w:rPr>
          <w:rtl w:val="true"/>
        </w:rPr>
        <w:t xml:space="preserve"> مع توثيق النسخة والإحصاءات</w:t>
      </w:r>
      <w:r>
        <w:rPr>
          <w:rtl w:val="true"/>
        </w:rPr>
        <w:t xml:space="preserve">. </w:t>
      </w:r>
      <w:r>
        <w:rPr>
          <w:rtl w:val="true"/>
        </w:rPr>
        <w:t xml:space="preserve">اعتُمدت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بعروضها الـ</w:t>
      </w:r>
      <w:r>
        <w:rPr/>
        <w:t>22</w:t>
      </w:r>
      <w:r>
        <w:rPr>
          <w:rtl w:val="true"/>
        </w:rPr>
        <w:t xml:space="preserve"> (</w:t>
      </w:r>
      <w:r>
        <w:rPr/>
        <w:t>D-01</w:t>
      </w:r>
      <w:r>
        <w:rPr/>
        <w:t xml:space="preserve">، </w:t>
      </w:r>
      <w:r>
        <w:rPr/>
        <w:t>D-09</w:t>
      </w:r>
      <w:r>
        <w:rPr>
          <w:rtl w:val="true"/>
        </w:rPr>
        <w:t>) [</w:t>
      </w:r>
      <w:r>
        <w:rPr/>
        <w:t>46</w:t>
      </w:r>
      <w:r>
        <w:rPr>
          <w:rtl w:val="true"/>
        </w:rPr>
        <w:t>].</w:t>
      </w:r>
    </w:p>
    <w:p>
      <w:pPr>
        <w:pStyle w:val="Compact"/>
        <w:numPr>
          <w:ilvl w:val="0"/>
          <w:numId w:val="170"/>
        </w:numPr>
        <w:bidi w:val="1"/>
        <w:rPr/>
      </w:pPr>
      <w:r>
        <w:rPr>
          <w:b/>
          <w:b/>
          <w:bCs/>
          <w:rtl w:val="true"/>
        </w:rPr>
        <w:t>تقسيم زمني عام مع ترتيب على الكتالوج كاملاً، دون سوالب معيَّنة في النتائج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وفي هذا تحذير من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اللذين يعتمدان عيّنة سوالب، وبرهان داخلي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وانظر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اعتُمد بقطع عام عند ثلاثة أصول </w:t>
      </w:r>
      <w:r>
        <w:rPr>
          <w:rtl w:val="true"/>
        </w:rPr>
        <w:t>(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1"/>
        </w:numPr>
        <w:bidi w:val="1"/>
        <w:rPr/>
      </w:pPr>
      <w:r>
        <w:rPr>
          <w:b/>
          <w:b/>
          <w:bCs/>
          <w:rtl w:val="true"/>
        </w:rPr>
        <w:t>خطوط أساس إلزامية</w:t>
      </w:r>
      <w:r>
        <w:rPr>
          <w:rtl w:val="true"/>
        </w:rPr>
        <w:t xml:space="preserve"> تشمل الشعبية والشعبية الزمنية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 ([1]</w:t>
      </w:r>
      <w:r>
        <w:rPr/>
        <w:t xml:space="preserve">، </w:t>
      </w:r>
      <w:r>
        <w:rPr/>
        <w:t>[20]</w:t>
      </w:r>
      <w:r>
        <w:rPr/>
        <w:t xml:space="preserve">، </w:t>
      </w:r>
      <w:r>
        <w:rPr/>
        <w:t>[31]</w:t>
      </w:r>
      <w:r>
        <w:rPr/>
        <w:t xml:space="preserve">، </w:t>
      </w:r>
      <w:r>
        <w:rPr/>
        <w:t>[39]</w:t>
      </w:r>
      <w:r>
        <w:rPr/>
        <w:t xml:space="preserve">، </w:t>
      </w:r>
      <w:r>
        <w:rPr/>
        <w:t>[42])</w:t>
      </w:r>
      <w:r>
        <w:rPr>
          <w:rtl w:val="true"/>
        </w:rPr>
        <w:t xml:space="preserve">. </w:t>
      </w:r>
      <w:r>
        <w:rPr>
          <w:rtl w:val="true"/>
        </w:rPr>
        <w:t xml:space="preserve">اعتُمدت في </w:t>
      </w:r>
      <w:r>
        <w:rPr/>
        <w:t>D-10</w:t>
      </w:r>
      <w:r>
        <w:rPr>
          <w:rtl w:val="true"/>
        </w:rPr>
        <w:t>.</w:t>
      </w:r>
    </w:p>
    <w:p>
      <w:pPr>
        <w:pStyle w:val="Compact"/>
        <w:numPr>
          <w:ilvl w:val="0"/>
          <w:numId w:val="172"/>
        </w:numPr>
        <w:bidi w:val="1"/>
        <w:rPr/>
      </w:pPr>
      <w:r>
        <w:rPr>
          <w:b/>
          <w:b/>
          <w:bCs/>
          <w:rtl w:val="true"/>
        </w:rPr>
        <w:t>استئصال للمكوّن السلوكي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إشارة ثنائية، ثم عدد الأيام، ثم الحداثة، ثم الشدة المطبَّعة بالنوع</w:t>
      </w:r>
      <w:r>
        <w:rPr>
          <w:rtl w:val="true"/>
        </w:rPr>
        <w:t xml:space="preserve">. </w:t>
      </w:r>
      <w:r>
        <w:rPr>
          <w:rtl w:val="true"/>
        </w:rPr>
        <w:t xml:space="preserve">وهي المقارنة الغائبة في الجدول </w:t>
      </w:r>
      <w:r>
        <w:rPr/>
        <w:t>5</w:t>
      </w:r>
      <w:r>
        <w:rPr>
          <w:rtl w:val="true"/>
        </w:rPr>
        <w:t xml:space="preserve">، واعتُمدت عائلةً متداخلة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73"/>
        </w:numPr>
        <w:bidi w:val="1"/>
        <w:rPr/>
      </w:pPr>
      <w:r>
        <w:rPr>
          <w:b/>
          <w:b/>
          <w:bCs/>
          <w:rtl w:val="true"/>
        </w:rPr>
        <w:t>غياب التفاعل ليس سلباً مؤكداً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]. </w:t>
      </w:r>
      <w:r>
        <w:rPr>
          <w:rtl w:val="true"/>
        </w:rPr>
        <w:t xml:space="preserve">وتُوثَّق قاعدة تعريف الهدف، مع الفصل بين اكتشاف الموارد الجديدة والإعادة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74"/>
        </w:numPr>
        <w:bidi w:val="1"/>
        <w:rPr/>
      </w:pPr>
      <w:r>
        <w:rPr>
          <w:b/>
          <w:b/>
          <w:bCs/>
          <w:rtl w:val="true"/>
        </w:rPr>
        <w:t>تحليل حسب شرائح المتعلمين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البدء البارد، والانخراط، والنتيجة النهائية، مع تحليل الإنصاف</w:t>
      </w:r>
      <w:r>
        <w:rPr>
          <w:rtl w:val="true"/>
        </w:rPr>
        <w:t xml:space="preserve">. </w:t>
      </w:r>
      <w:r>
        <w:rPr>
          <w:rtl w:val="true"/>
        </w:rPr>
        <w:t xml:space="preserve">فقد أورد مؤلفو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أدنى للراسبين والمنسحبين </w:t>
      </w:r>
      <w:r>
        <w:rPr>
          <w:rtl w:val="true"/>
        </w:rPr>
        <w:t>(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) </w:t>
      </w:r>
      <w:r>
        <w:rPr>
          <w:rtl w:val="true"/>
        </w:rPr>
        <w:t xml:space="preserve">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 xml:space="preserve">للمتميزين، ولذوي البدء البارد </w:t>
      </w:r>
      <w:r>
        <w:rPr>
          <w:rtl w:val="true"/>
        </w:rPr>
        <w:t>(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 xml:space="preserve">). </w:t>
      </w:r>
      <w:r>
        <w:rPr>
          <w:rtl w:val="true"/>
        </w:rPr>
        <w:t xml:space="preserve">اعتُمد في </w:t>
      </w:r>
      <w:r>
        <w:rPr/>
        <w:t>D-14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D-21</w:t>
      </w:r>
      <w:r>
        <w:rPr>
          <w:rtl w:val="true"/>
        </w:rPr>
        <w:t>.</w:t>
      </w:r>
    </w:p>
    <w:p>
      <w:pPr>
        <w:pStyle w:val="Compact"/>
        <w:numPr>
          <w:ilvl w:val="0"/>
          <w:numId w:val="175"/>
        </w:numPr>
        <w:bidi w:val="1"/>
        <w:rPr/>
      </w:pPr>
      <w:r>
        <w:rPr>
          <w:b/>
          <w:b/>
          <w:bCs/>
          <w:rtl w:val="true"/>
        </w:rPr>
        <w:t>اتساق الأرقام وقابلية إعادة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تُولَّد الجداول من الشيفرة، وتُثبَّت البذور، وتُجرى اختبارات دلالة </w:t>
      </w:r>
      <w:r>
        <w:rPr>
          <w:rtl w:val="true"/>
        </w:rPr>
        <w:t>([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]).</w:t>
      </w:r>
    </w:p>
    <w:p>
      <w:pPr>
        <w:pStyle w:val="Compact"/>
        <w:numPr>
          <w:ilvl w:val="0"/>
          <w:numId w:val="176"/>
        </w:numPr>
        <w:bidi w:val="1"/>
        <w:rPr/>
      </w:pPr>
      <w:r>
        <w:rPr>
          <w:b/>
          <w:b/>
          <w:bCs/>
          <w:rtl w:val="true"/>
        </w:rPr>
        <w:t>تجنّب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تُحسب الميزات من نافذة التدريب وحدها، ولا يُقيَّم على تقييمات مشتقة من الإشارة نفسها، وهو خطأ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D-06</w:t>
      </w:r>
      <w:r>
        <w:rPr>
          <w:rtl w:val="true"/>
        </w:rPr>
        <w:t>).</w:t>
      </w:r>
      <w:bookmarkEnd w:id="67"/>
      <w:bookmarkEnd w:id="79"/>
    </w:p>
    <w:p>
      <w:pPr>
        <w:pStyle w:val="Heading1"/>
        <w:bidi w:val="1"/>
        <w:rPr/>
      </w:pPr>
      <w:bookmarkStart w:id="80" w:name="__RefHeading___Toc15012_277087200"/>
      <w:bookmarkStart w:id="81" w:name="ما-تتفق-عليه-الأدبيات-وما-تختلف-فيه"/>
      <w:bookmarkEnd w:id="80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ما تتفق عليه الأدبيات وما تختلف فيه</w:t>
      </w:r>
    </w:p>
    <w:p>
      <w:pPr>
        <w:pStyle w:val="Heading2"/>
        <w:bidi w:val="1"/>
        <w:rPr/>
      </w:pPr>
      <w:bookmarkStart w:id="82" w:name="__RefHeading___Toc15014_277087200"/>
      <w:bookmarkStart w:id="83" w:name="مواضع-الاتفاق"/>
      <w:bookmarkEnd w:id="82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مواضع الاتفاق</w:t>
      </w:r>
    </w:p>
    <w:p>
      <w:pPr>
        <w:pStyle w:val="Compact"/>
        <w:numPr>
          <w:ilvl w:val="0"/>
          <w:numId w:val="177"/>
        </w:numPr>
        <w:bidi w:val="1"/>
        <w:rPr/>
      </w:pPr>
      <w:r>
        <w:rPr>
          <w:b/>
          <w:b/>
          <w:bCs/>
          <w:rtl w:val="true"/>
        </w:rPr>
        <w:t>التناثر والبدء البارد مشكلتان مركزيتان</w:t>
      </w:r>
      <w:r>
        <w:rPr>
          <w:rtl w:val="true"/>
        </w:rPr>
        <w:t xml:space="preserve"> في التوصية التعليمية عموماً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]. </w:t>
      </w:r>
      <w:r>
        <w:rPr>
          <w:rtl w:val="true"/>
        </w:rPr>
        <w:t xml:space="preserve">ويُلاحَظ أن التناثر ليس التحدي في بيانات الرسالة </w:t>
      </w:r>
      <w:r>
        <w:rPr>
          <w:rtl w:val="true"/>
        </w:rPr>
        <w:t>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، و</w:t>
      </w:r>
      <w:r>
        <w:rPr/>
        <w:t>D-19</w:t>
      </w:r>
      <w:r>
        <w:rPr>
          <w:rtl w:val="true"/>
        </w:rPr>
        <w:t>)</w:t>
      </w:r>
      <w:r>
        <w:rPr>
          <w:rtl w:val="true"/>
        </w:rPr>
        <w:t>، أما البدء البارد فيبقى</w:t>
      </w:r>
      <w:r>
        <w:rPr>
          <w:rtl w:val="true"/>
        </w:rPr>
        <w:t>.</w:t>
      </w:r>
    </w:p>
    <w:p>
      <w:pPr>
        <w:pStyle w:val="Compact"/>
        <w:numPr>
          <w:ilvl w:val="0"/>
          <w:numId w:val="178"/>
        </w:numPr>
        <w:bidi w:val="1"/>
        <w:rPr/>
      </w:pPr>
      <w:r>
        <w:rPr>
          <w:b/>
          <w:b/>
          <w:bCs/>
          <w:rtl w:val="true"/>
        </w:rPr>
        <w:t>الإشارات الضمنية أوفر من الصريحة في منصات التعلم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بأن المتعلمين نادراً ما يقيّمون</w:t>
      </w:r>
      <w:r>
        <w:rPr>
          <w:rtl w:val="true"/>
        </w:rPr>
        <w:t>.</w:t>
      </w:r>
    </w:p>
    <w:p>
      <w:pPr>
        <w:pStyle w:val="Compact"/>
        <w:numPr>
          <w:ilvl w:val="0"/>
          <w:numId w:val="179"/>
        </w:numPr>
        <w:bidi w:val="1"/>
        <w:rPr/>
      </w:pPr>
      <w:r>
        <w:rPr>
          <w:b/>
          <w:b/>
          <w:bCs/>
          <w:rtl w:val="true"/>
        </w:rPr>
        <w:t>إشارات الإكمال والجهد والانخراط تُستعمل على نطاق واسع ملامحَ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>دليل فائدتها لجودة الترتيب غير مباشر</w:t>
      </w:r>
      <w:r>
        <w:rPr>
          <w:rtl w:val="true"/>
        </w:rPr>
        <w:t xml:space="preserve">: </w:t>
      </w:r>
      <w:r>
        <w:rPr>
          <w:rtl w:val="true"/>
        </w:rPr>
        <w:t xml:space="preserve">ارتباطها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مصدره مصنِّف بديل، ونسبة المشاهدة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لم تُستأصل منفردة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0"/>
        </w:numPr>
        <w:bidi w:val="1"/>
        <w:rPr/>
      </w:pPr>
      <w:r>
        <w:rPr>
          <w:b/>
          <w:b/>
          <w:bCs/>
          <w:rtl w:val="true"/>
        </w:rPr>
        <w:t>تعريف إشارات السلوك يستحق مرحلة مستقلة</w:t>
      </w:r>
      <w:r>
        <w:rPr>
          <w:rtl w:val="true"/>
        </w:rPr>
        <w:t xml:space="preserve"> قبل التوصية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].</w:t>
      </w:r>
      <w:bookmarkEnd w:id="83"/>
    </w:p>
    <w:p>
      <w:pPr>
        <w:pStyle w:val="Heading2"/>
        <w:bidi w:val="1"/>
        <w:rPr/>
      </w:pPr>
      <w:bookmarkStart w:id="84" w:name="__RefHeading___Toc15016_277087200"/>
      <w:bookmarkStart w:id="85" w:name="مواضع-الاختلاف"/>
      <w:bookmarkEnd w:id="84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>مواضع الاختلاف</w:t>
      </w:r>
    </w:p>
    <w:p>
      <w:pPr>
        <w:pStyle w:val="Compact"/>
        <w:numPr>
          <w:ilvl w:val="0"/>
          <w:numId w:val="181"/>
        </w:numPr>
        <w:bidi w:val="1"/>
        <w:rPr/>
      </w:pPr>
      <w:r>
        <w:rPr>
          <w:b/>
          <w:b/>
          <w:bCs/>
          <w:rtl w:val="true"/>
        </w:rPr>
        <w:t>هل الهجين أو النموذج الأعقد أفضل؟</w:t>
      </w:r>
      <w:r>
        <w:rPr>
          <w:rtl w:val="true"/>
        </w:rPr>
        <w:t xml:space="preserve"> يرى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(✅)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(✅) </w:t>
      </w:r>
      <w:r>
        <w:rPr>
          <w:rtl w:val="true"/>
        </w:rPr>
        <w:t>أن الهجين يتفوق على مكوّناته</w:t>
      </w:r>
      <w:r>
        <w:rPr>
          <w:rtl w:val="true"/>
        </w:rPr>
        <w:t xml:space="preserve">. </w:t>
      </w:r>
      <w:r>
        <w:rPr>
          <w:rtl w:val="true"/>
        </w:rPr>
        <w:t xml:space="preserve">لكن المقارنات بطرائق كلاسيكية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(⚠️)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>تُظهر طرائق أبسط مساوية أو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>فالنموذج المعقد هو الأفضل، وإن حقق التنقيح البسيط معظم مكسبه</w:t>
      </w:r>
      <w:r>
        <w:rPr>
          <w:rtl w:val="true"/>
        </w:rPr>
        <w:t>.</w:t>
      </w:r>
    </w:p>
    <w:p>
      <w:pPr>
        <w:pStyle w:val="Compact"/>
        <w:numPr>
          <w:ilvl w:val="0"/>
          <w:numId w:val="182"/>
        </w:numPr>
        <w:bidi w:val="1"/>
        <w:rPr/>
      </w:pPr>
      <w:r>
        <w:rPr>
          <w:b/>
          <w:b/>
          <w:bCs/>
          <w:rtl w:val="true"/>
        </w:rPr>
        <w:t>التسلسلي أم غير التسلسلي؟</w:t>
      </w:r>
      <w:r>
        <w:rPr>
          <w:rtl w:val="true"/>
        </w:rPr>
        <w:t xml:space="preserve"> لا اتفاق في المجموعة</w:t>
      </w:r>
      <w:r>
        <w:rPr>
          <w:rtl w:val="true"/>
        </w:rPr>
        <w:t>:</w:t>
      </w:r>
    </w:p>
    <w:p>
      <w:pPr>
        <w:pStyle w:val="Compact"/>
        <w:numPr>
          <w:ilvl w:val="1"/>
          <w:numId w:val="183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 أعلى من </w:t>
      </w:r>
      <w:r>
        <w:rPr/>
        <w:t>GRU</w:t>
      </w:r>
      <w:r>
        <w:rPr>
          <w:rtl w:val="true"/>
        </w:rPr>
        <w:t>.</w:t>
      </w:r>
    </w:p>
    <w:p>
      <w:pPr>
        <w:pStyle w:val="Compact"/>
        <w:numPr>
          <w:ilvl w:val="1"/>
          <w:numId w:val="184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85"/>
        </w:numPr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(✅) </w:t>
      </w:r>
      <w:r>
        <w:rPr>
          <w:rtl w:val="true"/>
        </w:rPr>
        <w:t>يقارن بنماذج تسلسلية فقط، فلا يحسم المسألة</w:t>
      </w:r>
      <w:r>
        <w:rPr>
          <w:rtl w:val="true"/>
        </w:rPr>
        <w:t>.</w:t>
      </w:r>
    </w:p>
    <w:p>
      <w:pPr>
        <w:pStyle w:val="Compact"/>
        <w:numPr>
          <w:ilvl w:val="1"/>
          <w:numId w:val="186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(⚠️) </w:t>
      </w:r>
      <w:r>
        <w:rPr>
          <w:rtl w:val="true"/>
        </w:rPr>
        <w:t>أفاد بُعد المسار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187"/>
        </w:numPr>
        <w:bidi w:val="1"/>
        <w:rPr/>
      </w:pPr>
      <w:r>
        <w:rPr>
          <w:b/>
          <w:b/>
          <w:bCs/>
          <w:rtl w:val="true"/>
        </w:rPr>
        <w:t>السمات والملف أم التشابه بين العناصر؟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السمات للبدء البارد</w:t>
      </w:r>
      <w:r>
        <w:rPr>
          <w:rtl w:val="true"/>
        </w:rPr>
        <w:t xml:space="preserve">. </w:t>
      </w:r>
      <w:r>
        <w:rPr>
          <w:rtl w:val="true"/>
        </w:rPr>
        <w:t xml:space="preserve">في المقابل يبيّن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أن نماذج </w:t>
      </w:r>
      <w:r>
        <w:rPr>
          <w:rtl w:val="true"/>
        </w:rPr>
        <w:t>«</w:t>
      </w:r>
      <w:r>
        <w:rPr>
          <w:rtl w:val="true"/>
        </w:rPr>
        <w:t>عنصر مع عنصر</w:t>
      </w:r>
      <w:r>
        <w:rPr>
          <w:rtl w:val="true"/>
        </w:rPr>
        <w:t>» (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NAIS</w:t>
      </w:r>
      <w:r>
        <w:rPr>
          <w:rtl w:val="true"/>
        </w:rPr>
        <w:t xml:space="preserve">) </w:t>
      </w:r>
      <w:r>
        <w:rPr>
          <w:rtl w:val="true"/>
        </w:rPr>
        <w:t xml:space="preserve">تتفوق على نماذج </w:t>
      </w:r>
      <w:r>
        <w:rPr>
          <w:rtl w:val="true"/>
        </w:rPr>
        <w:t>«</w:t>
      </w:r>
      <w:r>
        <w:rPr>
          <w:rtl w:val="true"/>
        </w:rPr>
        <w:t>مستخدم مع عنصر</w:t>
      </w:r>
      <w:r>
        <w:rPr>
          <w:rtl w:val="true"/>
        </w:rPr>
        <w:t>» (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) </w:t>
      </w:r>
      <w:r>
        <w:rPr>
          <w:rtl w:val="true"/>
        </w:rPr>
        <w:t>حين تكون الملفات قصيرة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8"/>
        </w:numPr>
        <w:bidi w:val="1"/>
        <w:rPr/>
      </w:pPr>
      <w:r>
        <w:rPr>
          <w:b/>
          <w:b/>
          <w:bCs/>
          <w:rtl w:val="true"/>
        </w:rPr>
        <w:t>تغيّر الاهتمامات والبعد الزمني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89"/>
        </w:numPr>
        <w:bidi w:val="1"/>
        <w:rPr/>
      </w:pPr>
      <w:r>
        <w:rPr>
          <w:rtl w:val="true"/>
        </w:rPr>
        <w:t xml:space="preserve">الدليل التجريبي الوحيد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(✅)</w:t>
      </w:r>
      <w:r>
        <w:rPr>
          <w:rtl w:val="true"/>
        </w:rPr>
        <w:t>، وهو من التجارة الإلكترونية</w:t>
      </w:r>
      <w:r>
        <w:rPr>
          <w:rtl w:val="true"/>
        </w:rPr>
        <w:t xml:space="preserve">: </w:t>
      </w:r>
      <w:r>
        <w:rPr>
          <w:rtl w:val="true"/>
        </w:rPr>
        <w:t xml:space="preserve">دورية أسبوعية، ونافذة نحو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90"/>
        </w:numPr>
        <w:bidi w:val="1"/>
        <w:rPr/>
      </w:pPr>
      <w:r>
        <w:rPr>
          <w:rtl w:val="true"/>
        </w:rPr>
        <w:t xml:space="preserve">اضمحلال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(❌/❓)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تصميم لم يُختبر</w:t>
      </w:r>
      <w:r>
        <w:rPr>
          <w:rtl w:val="true"/>
        </w:rPr>
        <w:t>.</w:t>
      </w:r>
    </w:p>
    <w:p>
      <w:pPr>
        <w:pStyle w:val="Compact"/>
        <w:numPr>
          <w:ilvl w:val="1"/>
          <w:numId w:val="191"/>
        </w:numPr>
        <w:bidi w:val="1"/>
        <w:rPr/>
      </w:pPr>
      <w:r>
        <w:rPr>
          <w:rtl w:val="true"/>
        </w:rPr>
        <w:t xml:space="preserve">يجد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أن بُعد </w:t>
      </w:r>
      <w:r>
        <w:rPr>
          <w:rtl w:val="true"/>
        </w:rPr>
        <w:t>«</w:t>
      </w:r>
      <w:r>
        <w:rPr>
          <w:rtl w:val="true"/>
        </w:rPr>
        <w:t>متى</w:t>
      </w:r>
      <w:r>
        <w:rPr>
          <w:rtl w:val="true"/>
        </w:rPr>
        <w:t xml:space="preserve">» </w:t>
      </w:r>
      <w:r>
        <w:rPr>
          <w:rtl w:val="true"/>
        </w:rPr>
        <w:t xml:space="preserve">لم يُفد في </w:t>
      </w:r>
      <w:r>
        <w:rPr/>
        <w:t>MERLOT</w:t>
      </w:r>
      <w:r>
        <w:rPr>
          <w:rtl w:val="true"/>
        </w:rPr>
        <w:t>.</w:t>
      </w:r>
    </w:p>
    <w:p>
      <w:pPr>
        <w:pStyle w:val="Compact"/>
        <w:numPr>
          <w:ilvl w:val="1"/>
          <w:numId w:val="192"/>
        </w:numPr>
        <w:bidi w:val="1"/>
        <w:rPr/>
      </w:pPr>
      <w:r>
        <w:rPr>
          <w:rtl w:val="true"/>
        </w:rPr>
        <w:t xml:space="preserve">يدّعي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فائدة المجال الترددي دون تحليل طيفي</w:t>
      </w:r>
      <w:r>
        <w:rPr>
          <w:rtl w:val="true"/>
        </w:rPr>
        <w:t>.</w:t>
      </w:r>
    </w:p>
    <w:p>
      <w:pPr>
        <w:pStyle w:val="Compact"/>
        <w:numPr>
          <w:ilvl w:val="0"/>
          <w:numId w:val="193"/>
        </w:numPr>
        <w:bidi w:val="1"/>
        <w:rPr/>
      </w:pPr>
      <w:r>
        <w:rPr>
          <w:b/>
          <w:b/>
          <w:bCs/>
          <w:rtl w:val="true"/>
        </w:rPr>
        <w:t>معاملة غياب التفاعل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السوالب من انخفاض الإكمال أو الدرجة، ويأخذ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سوالب عشوائية، ويحذّر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من أن عدم النقر لا يعني عدم الصلة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94"/>
        </w:numPr>
        <w:bidi w:val="1"/>
        <w:rPr/>
      </w:pPr>
      <w:r>
        <w:rPr>
          <w:b/>
          <w:b/>
          <w:bCs/>
          <w:rtl w:val="true"/>
        </w:rPr>
        <w:t>استبيانات أسلوب التعلم أم استنتاجه من السلوك؟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 xml:space="preserve">على الاستبيانات، ويستنتج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>الملف من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195"/>
        </w:numPr>
        <w:bidi w:val="1"/>
        <w:rPr/>
      </w:pPr>
      <w:r>
        <w:rPr>
          <w:b/>
          <w:b/>
          <w:bCs/>
          <w:rtl w:val="true"/>
        </w:rPr>
        <w:t>مقياس النجاح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تقيس أوراق خطأ التنبؤ </w:t>
      </w:r>
      <w:r>
        <w:rPr>
          <w:rtl w:val="true"/>
        </w:rPr>
        <w:t>([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])</w:t>
      </w:r>
      <w:r>
        <w:rPr>
          <w:rtl w:val="true"/>
        </w:rPr>
        <w:t xml:space="preserve">، وأخرى جودة الترتيب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]). </w:t>
      </w:r>
      <w:r>
        <w:rPr>
          <w:rtl w:val="true"/>
        </w:rPr>
        <w:t>والنتيجتان لا تتطابقان بالضرورة</w:t>
      </w:r>
      <w:r>
        <w:rPr>
          <w:rtl w:val="true"/>
        </w:rPr>
        <w:t>.</w:t>
      </w:r>
      <w:bookmarkEnd w:id="81"/>
      <w:bookmarkEnd w:id="85"/>
    </w:p>
    <w:p>
      <w:pPr>
        <w:pStyle w:val="Heading1"/>
        <w:bidi w:val="1"/>
        <w:rPr/>
      </w:pPr>
      <w:bookmarkStart w:id="86" w:name="__RefHeading___Toc15018_277087200"/>
      <w:bookmarkStart w:id="87" w:name="الفجوة-البحثية-ونقطة-الانطلاق"/>
      <w:bookmarkEnd w:id="86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الفجوة البحثية ونقطة الانطلاق</w:t>
      </w:r>
    </w:p>
    <w:p>
      <w:pPr>
        <w:pStyle w:val="Heading2"/>
        <w:bidi w:val="1"/>
        <w:rPr/>
      </w:pPr>
      <w:bookmarkStart w:id="88" w:name="__RefHeading___Toc15020_277087200"/>
      <w:bookmarkStart w:id="89" w:name="اشتقاق-الفجوة-من-المصفوفة"/>
      <w:bookmarkEnd w:id="88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اشتقاق الفجوة من المصفوفة</w:t>
      </w:r>
    </w:p>
    <w:p>
      <w:pPr>
        <w:pStyle w:val="Normal"/>
        <w:bidi w:val="1"/>
        <w:rPr/>
      </w:pPr>
      <w:r>
        <w:rPr>
          <w:rtl w:val="true"/>
        </w:rPr>
        <w:t xml:space="preserve">اشتُقّت الفجوة باختبار المراجع الأقرب إلى موضوع الرسالة مقابل أحد عشر معياراً، استُخرجت من أسئلة البحث ومن دروس القسم </w:t>
      </w:r>
      <w:r>
        <w:rPr/>
        <w:t>5.6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انتقاء الصفوف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صفوف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هي صفوف الجدول </w:t>
      </w:r>
      <w:r>
        <w:rPr/>
        <w:t>11</w:t>
      </w:r>
      <w:r>
        <w:rPr>
          <w:rtl w:val="true"/>
        </w:rPr>
        <w:t xml:space="preserve"> (</w:t>
      </w:r>
      <w:r>
        <w:rPr>
          <w:rtl w:val="true"/>
        </w:rPr>
        <w:t>المراجع عالية الصلة</w:t>
      </w:r>
      <w:r>
        <w:rPr>
          <w:rtl w:val="true"/>
        </w:rPr>
        <w:t>)</w:t>
      </w:r>
      <w:r>
        <w:rPr>
          <w:rtl w:val="true"/>
        </w:rPr>
        <w:t xml:space="preserve">، ويُضاف إليها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لأنه أكبر بيانات سلوكية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ويخرج منها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>، لأن مهمتيهما ليستا توصية محتوى تعليمي لمتعلم</w:t>
      </w:r>
      <w:r>
        <w:rPr>
          <w:rtl w:val="true"/>
        </w:rPr>
        <w:t xml:space="preserve">. </w:t>
      </w:r>
      <w:r>
        <w:rPr>
          <w:rtl w:val="true"/>
        </w:rPr>
        <w:t xml:space="preserve">ومع ذلك، فالاستنتاجان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أدناه يصحّان على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كلها </w:t>
      </w:r>
      <w:r>
        <w:rPr>
          <w:rtl w:val="true"/>
        </w:rPr>
        <w:t>(</w:t>
      </w:r>
      <w:r>
        <w:rPr>
          <w:rtl w:val="true"/>
        </w:rPr>
        <w:t xml:space="preserve">الجدولان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ولكل معيار سلّم مكتوب يعرضه الجدول </w:t>
      </w:r>
      <w:r>
        <w:rPr/>
        <w:t>16</w:t>
      </w:r>
      <w:r>
        <w:rPr>
          <w:rtl w:val="true"/>
        </w:rPr>
        <w:t xml:space="preserve">. </w:t>
      </w:r>
      <w:r>
        <w:rPr>
          <w:rtl w:val="true"/>
        </w:rPr>
        <w:t xml:space="preserve">والقيمة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تعني أن الورقة لم تُصرّح، وتُعدّ غير مستوفاة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سلّم تقدير المعايير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نعم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 xml:space="preserve">جزئي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>لا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5"/>
        <w:gridCol w:w="2901"/>
        <w:gridCol w:w="2813"/>
        <w:gridCol w:w="1668"/>
      </w:tblGrid>
      <w:tr>
        <w:trPr>
          <w:tblHeader w:val="true"/>
        </w:trPr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المعيار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بيانات تعليمية حقيقية عامة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تعليمية لمتعلمين حقيقيين منشورة للعموم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تعليمية حقيقية من منصة عامة لكن البيانات المستعملة غير منشورة، أو غير مصرَّح بنشرها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خاصة، أو اصطناعية، أو غير تعليمية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سجلات سلوك خام متعددة الأنواع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نوعان أو أكثر من سجلات النشاط 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نقر حسب النوع، زمن، تكرار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منصة عاملة، لأكثر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نوع واحد إضافي فقط، أو مؤشرات على مستوى المقرر، أو عيّنة أصغر، أو نموذج أولي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حدوث التفاعل أو ترتيبه فقط، أو اصطناعي، أو مُدّعى لا تحتمله البيانات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تحويل صريح إلى تفضيل موزون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دالة أو أوزان معلنة تحوّل الأفعال إلى درجة تفضيل يستعملها المُوصي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السلوك ميزاتٌ في نموذج، أو عتبة ثنائية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تحويل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مقاييس ترتيب </w:t>
            </w:r>
            <w:r>
              <w:rPr>
                <w:kern w:val="0"/>
                <w:lang w:val="en-US" w:eastAsia="en-US" w:bidi="ar-SA"/>
              </w:rPr>
              <w:t>Top-N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ترتيب بأرقام منشورة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مقاييس ترتيب دون أرقام في النص، أو على عيّنة دون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 تقسيم زمني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زمني عام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زمني لكل 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ترك الأخير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أو شرائح زمنية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 كتالوج كامل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مصرَّح به على الكتالوج كله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سوالب، أو لا ترتيب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خطوط أساس قوية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مُعاد تنفيذهما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واحد على الأقل دون الشعبية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مكوّنات داخلية، أو أرقام منقولة، أو لا شيء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تفسير التوصيات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للتوصيات نفسها مع تقييمه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لنموذج آخر، أو تفسير غير مقيَّم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تفسير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قابلية إعادة الإنتاج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 منشورة وبيانات عامة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أحدهما فقط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هذا ولا ذاك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استئصال الترجيح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النموذج نفسه بإشارة موزونة مقابل إشارة ثنائية على البروتوكول نفسه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استئصال لمكوّن أو إشارة أخرى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استئصال</w:t>
            </w:r>
          </w:p>
        </w:tc>
      </w:tr>
      <w:tr>
        <w:trPr/>
        <w:tc>
          <w:tcPr>
            <w:tcW w:w="14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الاكتشاف عن الإعادة</w:t>
            </w:r>
          </w:p>
        </w:tc>
        <w:tc>
          <w:tcPr>
            <w:tcW w:w="29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منفصل للعناصر التي لم يتفاعل معها المستخدم سابقاً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استبعاد المستهلَك من الهدف دون تقرير منفصل</w:t>
            </w:r>
          </w:p>
        </w:tc>
        <w:tc>
          <w:tcPr>
            <w:tcW w:w="16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الهدف يشمل الإعادات، أو لا تقييم ترتيب أصلاً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1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63"/>
        <w:gridCol w:w="1406"/>
        <w:gridCol w:w="1406"/>
        <w:gridCol w:w="1406"/>
        <w:gridCol w:w="1407"/>
      </w:tblGrid>
      <w:tr>
        <w:trPr>
          <w:tblHeader w:val="true"/>
        </w:trPr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2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3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31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أ–ش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99"/>
        <w:gridCol w:w="1319"/>
        <w:gridCol w:w="966"/>
        <w:gridCol w:w="1318"/>
        <w:gridCol w:w="2286"/>
      </w:tblGrid>
      <w:tr>
        <w:trPr>
          <w:tblHeader w:val="true"/>
        </w:trPr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6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جزئي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8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54"/>
        <w:gridCol w:w="1758"/>
        <w:gridCol w:w="1757"/>
        <w:gridCol w:w="1318"/>
      </w:tblGrid>
      <w:tr>
        <w:trPr>
          <w:tblHeader w:val="true"/>
        </w:trPr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8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حاشية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6"/>
        </w:numPr>
        <w:bidi w:val="1"/>
        <w:rPr/>
      </w:pPr>
      <w:r>
        <w:rPr>
          <w:i/>
          <w:iCs/>
          <w:rtl w:val="true"/>
        </w:rPr>
        <w:t>[</w:t>
      </w:r>
      <w:r>
        <w:rPr>
          <w:i/>
          <w:iCs/>
        </w:rPr>
        <w:t>31</w:t>
      </w:r>
      <w:r>
        <w:rPr>
          <w:i/>
          <w:i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تقول بطاقته إن إتاحة البيانات غير مذكورة وإن الشيفرة وحدها منشورة</w:t>
      </w:r>
      <w:r>
        <w:rPr>
          <w:rtl w:val="true"/>
        </w:rPr>
        <w:t xml:space="preserve">. </w:t>
      </w:r>
      <w:r>
        <w:rPr>
          <w:rtl w:val="true"/>
        </w:rPr>
        <w:t xml:space="preserve">ولا يصرّح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ولا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بأنهما يستعملان بيانات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نفسها</w:t>
      </w:r>
      <w:r>
        <w:rPr>
          <w:rtl w:val="true"/>
        </w:rPr>
        <w:t xml:space="preserve">. </w:t>
      </w:r>
      <w:r>
        <w:rPr>
          <w:rtl w:val="true"/>
        </w:rPr>
        <w:t>لذلك قُدّر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«</w:t>
      </w:r>
      <w:r>
        <w:rPr>
          <w:rtl w:val="true"/>
        </w:rPr>
        <w:t>جزئي</w:t>
      </w:r>
      <w:r>
        <w:rPr>
          <w:rtl w:val="true"/>
        </w:rPr>
        <w:t>».</w:t>
      </w:r>
    </w:p>
    <w:p>
      <w:pPr>
        <w:pStyle w:val="Compact"/>
        <w:numPr>
          <w:ilvl w:val="0"/>
          <w:numId w:val="197"/>
        </w:numPr>
        <w:bidi w:val="1"/>
        <w:rPr/>
      </w:pPr>
      <w:r>
        <w:rPr>
          <w:i/>
          <w:i/>
          <w:iCs/>
          <w:rtl w:val="true"/>
        </w:rPr>
        <w:t>ش</w:t>
      </w:r>
      <w:r>
        <w:rPr>
          <w:i/>
          <w:iCs/>
        </w:rPr>
        <w:t>10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بُحث في البطاقات عن الإعادة والعناصر الجديدة والشعبية الزمنية فلم يوجد شيء</w:t>
      </w:r>
      <w:r>
        <w:rPr>
          <w:rtl w:val="true"/>
        </w:rPr>
        <w:t xml:space="preserve">. </w:t>
      </w:r>
      <w:r>
        <w:rPr>
          <w:rtl w:val="true"/>
        </w:rPr>
        <w:t xml:space="preserve">فالقيمة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حيث يوجد تقييم ترتيب، و</w:t>
      </w:r>
      <w:r>
        <w:rPr>
          <w:rtl w:val="true"/>
        </w:rPr>
        <w:t>«</w:t>
      </w:r>
      <w:r>
        <w:rPr>
          <w:rtl w:val="true"/>
        </w:rPr>
        <w:t>لا</w:t>
      </w:r>
      <w:r>
        <w:rPr>
          <w:rtl w:val="true"/>
        </w:rPr>
        <w:t xml:space="preserve">» </w:t>
      </w:r>
      <w:r>
        <w:rPr>
          <w:rtl w:val="true"/>
        </w:rPr>
        <w:t>حيث لا يوجد</w:t>
      </w:r>
      <w:r>
        <w:rPr>
          <w:rtl w:val="true"/>
        </w:rPr>
        <w:t xml:space="preserve">. </w:t>
      </w:r>
      <w:r>
        <w:rPr>
          <w:rtl w:val="true"/>
        </w:rPr>
        <w:t xml:space="preserve">وفي بيانات التسجيل في المقررات </w:t>
      </w:r>
      <w:r>
        <w:rPr>
          <w:rtl w:val="true"/>
        </w:rPr>
        <w:t>([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>تندر إعادة التسجيل بطبيعتها، لكن ذلك لم يُبلَّغ عنه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تُظهره الجداول الثلاثة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8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لم يستوفه أي مرجع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والمراجع الأربعة التي تستوفي ش</w:t>
      </w:r>
      <w:r>
        <w:rPr/>
        <w:t>3</w:t>
      </w:r>
      <w:r>
        <w:rPr>
          <w:rtl w:val="true"/>
        </w:rPr>
        <w:t xml:space="preserve"> ([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]) </w:t>
      </w:r>
      <w:r>
        <w:rPr>
          <w:rtl w:val="true"/>
        </w:rPr>
        <w:t>لا تستوفي ش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أي أن الترجيح الصريح لم يُختبر استئصالياً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5</w:t>
      </w:r>
      <w:r>
        <w:rPr>
          <w:rtl w:val="true"/>
        </w:rPr>
        <w:t>).</w:t>
      </w:r>
    </w:p>
    <w:p>
      <w:pPr>
        <w:pStyle w:val="Compact"/>
        <w:numPr>
          <w:ilvl w:val="0"/>
          <w:numId w:val="199"/>
        </w:numPr>
        <w:bidi w:val="1"/>
        <w:rPr/>
      </w:pPr>
      <w:r>
        <w:rPr>
          <w:b/>
          <w:b/>
          <w:bCs/>
          <w:rtl w:val="true"/>
        </w:rPr>
        <w:t>لا يجمع أي مرجع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 وش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يستوفي الأول دون الثاني،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يستوفي الثاني دون الأول</w:t>
      </w:r>
      <w:r>
        <w:rPr>
          <w:rtl w:val="true"/>
        </w:rPr>
        <w:t xml:space="preserve">. </w:t>
      </w:r>
      <w:r>
        <w:rPr>
          <w:rtl w:val="true"/>
        </w:rPr>
        <w:t xml:space="preserve">ويصحّ هذا على المجموعة كلها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0"/>
        </w:numPr>
        <w:bidi w:val="1"/>
        <w:rPr/>
      </w:pPr>
      <w:r>
        <w:rPr>
          <w:b/>
          <w:b/>
          <w:bCs/>
          <w:rtl w:val="true"/>
        </w:rPr>
        <w:t xml:space="preserve">أقرب مرجع </w:t>
      </w: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</w:t>
      </w:r>
      <w:r>
        <w:rPr>
          <w:b/>
          <w:b/>
          <w:bCs/>
          <w:rtl w:val="true"/>
        </w:rPr>
        <w:t>، وحكمه ❓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ب وش</w:t>
      </w:r>
      <w:r>
        <w:rPr/>
        <w:t>6</w:t>
      </w:r>
      <w:r>
        <w:rPr>
          <w:rtl w:val="true"/>
        </w:rPr>
        <w:t>، ويستوفي جزئياً 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، وذلك على وحدة واحدة من </w:t>
      </w:r>
      <w:r>
        <w:rPr/>
        <w:t>OULAD</w:t>
      </w:r>
      <w:r>
        <w:rPr>
          <w:rtl w:val="true"/>
        </w:rPr>
        <w:t>.</w:t>
      </w:r>
    </w:p>
    <w:p>
      <w:pPr>
        <w:pStyle w:val="Compact"/>
        <w:numPr>
          <w:ilvl w:val="0"/>
          <w:numId w:val="201"/>
        </w:numPr>
        <w:bidi w:val="1"/>
        <w:rPr/>
      </w:pPr>
      <w:r>
        <w:rPr>
          <w:b/>
          <w:b/>
          <w:bCs/>
          <w:rtl w:val="true"/>
        </w:rPr>
        <w:t xml:space="preserve">أقرب مرجع ✅ هو </w:t>
      </w: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أ، وجزئياً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، وإشارته محدودة </w:t>
      </w:r>
      <w:r>
        <w:rPr>
          <w:rtl w:val="true"/>
        </w:rPr>
        <w:t>(</w:t>
      </w:r>
      <w:r>
        <w:rPr>
          <w:rtl w:val="true"/>
        </w:rPr>
        <w:t>التسجيل ونسبة المشاهدة</w:t>
      </w:r>
      <w:r>
        <w:rPr>
          <w:rtl w:val="true"/>
        </w:rPr>
        <w:t xml:space="preserve">) </w:t>
      </w:r>
      <w:r>
        <w:rPr>
          <w:rtl w:val="true"/>
        </w:rPr>
        <w:t>ولا يرجّح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202"/>
        </w:numPr>
        <w:bidi w:val="1"/>
        <w:rPr/>
      </w:pPr>
      <w:r>
        <w:rPr>
          <w:b/>
          <w:b/>
          <w:bCs/>
          <w:rtl w:val="true"/>
        </w:rPr>
        <w:t xml:space="preserve">لم يُبلَّغ في أي صف عن تقييم منفصل لاكتشاف العناصر الجديدة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ش</w:t>
      </w:r>
      <w:r>
        <w:rPr>
          <w:b/>
          <w:bCs/>
        </w:rPr>
        <w:t>10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ولم يُعِد أي مرجع في المجموعة تنفيذ خط شعبية زمني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14</w:t>
      </w:r>
      <w:r>
        <w:rPr>
          <w:rtl w:val="true"/>
        </w:rPr>
        <w:t>).</w:t>
      </w:r>
      <w:bookmarkEnd w:id="89"/>
    </w:p>
    <w:p>
      <w:pPr>
        <w:pStyle w:val="Heading2"/>
        <w:bidi w:val="1"/>
        <w:rPr/>
      </w:pPr>
      <w:bookmarkStart w:id="90" w:name="__RefHeading___Toc15022_277087200"/>
      <w:bookmarkStart w:id="91" w:name="X5f284008577d3bf8c2a74d98a6441bc47c8ac0e"/>
      <w:bookmarkEnd w:id="90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صياغة الفجوة البحثية ومواءمتها مع قرارات الاجتماع </w:t>
      </w:r>
      <w:r>
        <w:rPr/>
        <w:t>01</w:t>
      </w:r>
    </w:p>
    <w:p>
      <w:pPr>
        <w:pStyle w:val="Normal"/>
        <w:bidi w:val="1"/>
        <w:rPr/>
      </w:pPr>
      <w:r>
        <w:rPr>
          <w:rtl w:val="true"/>
        </w:rPr>
        <w:t xml:space="preserve">بناءً على 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، وعلى الجداول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>، تُصاغ الفجوة في أربع فقرات</w:t>
      </w:r>
      <w:r>
        <w:rPr>
          <w:rtl w:val="true"/>
        </w:rPr>
        <w:t xml:space="preserve">. </w:t>
      </w:r>
      <w:r>
        <w:rPr>
          <w:rtl w:val="true"/>
        </w:rPr>
        <w:t>الأولى رئيسية، ويرتبط كل منها بسؤال بحث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الرئيسية، ← </w:t>
      </w:r>
      <w:r>
        <w:rPr>
          <w:b/>
          <w:bCs/>
        </w:rPr>
        <w:t>RQ2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 xml:space="preserve">ضمن المجموعة المحللة </w:t>
      </w:r>
      <w:r>
        <w:rPr>
          <w:b/>
          <w:bCs/>
          <w:rtl w:val="true"/>
        </w:rPr>
        <w:t>(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مرجعاً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وفي التعليم الإلكتروني تحديداً،</w:t>
      </w:r>
      <w:r>
        <w:rPr>
          <w:rtl w:val="true"/>
        </w:rPr>
        <w:t xml:space="preserve"> لم يُعثر على عمل يختبر </w:t>
      </w:r>
      <w:r>
        <w:rPr>
          <w:b/>
          <w:b/>
          <w:bCs/>
          <w:rtl w:val="true"/>
        </w:rPr>
        <w:t>اختباراً استئصالياً مضبوطاً</w:t>
      </w:r>
      <w:r>
        <w:rPr>
          <w:rtl w:val="true"/>
        </w:rPr>
        <w:t xml:space="preserve"> قيمة ترجيح الإشارات السلوكية الضمنية مقابل الإشارة الثنائية</w:t>
      </w:r>
      <w:r>
        <w:rPr>
          <w:rtl w:val="true"/>
        </w:rPr>
        <w:t xml:space="preserve">. </w:t>
      </w:r>
      <w:r>
        <w:rPr>
          <w:rtl w:val="true"/>
        </w:rPr>
        <w:t>والإشارات المقصودة</w:t>
      </w:r>
      <w:r>
        <w:rPr>
          <w:rtl w:val="true"/>
        </w:rPr>
        <w:t xml:space="preserve">: </w:t>
      </w:r>
      <w:r>
        <w:rPr>
          <w:rtl w:val="true"/>
        </w:rPr>
        <w:t>عدد أيام الوصول، والحداثة، والشدة المطبَّعة بنوع النشاط</w:t>
      </w:r>
      <w:r>
        <w:rPr>
          <w:rtl w:val="true"/>
        </w:rPr>
        <w:t xml:space="preserve">. </w:t>
      </w:r>
      <w:r>
        <w:rPr>
          <w:rtl w:val="true"/>
        </w:rPr>
        <w:t xml:space="preserve">ويُشترط في هذا الاختبار أن يجري داخل نماذج توصية خفيفة قابلة لإعادة الإنتاج، وعلى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تعليمية عامة، بتقسيم زمني وترتيب على الكتالوج الكامل معاً، ومقابل خطوط أساس قوية في مقدمتها الشعبية والشعبية الزمنية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>، 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 xml:space="preserve">وأقرب مرجع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❓</w:t>
      </w:r>
      <w:r>
        <w:rPr>
          <w:rtl w:val="true"/>
        </w:rPr>
        <w:t xml:space="preserve">) </w:t>
      </w:r>
      <w:r>
        <w:rPr>
          <w:rtl w:val="true"/>
        </w:rPr>
        <w:t xml:space="preserve">يغطي معظم الشروط على وحدة واحدة من </w:t>
      </w:r>
      <w:r>
        <w:rPr/>
        <w:t>OULAD</w:t>
      </w:r>
      <w:r>
        <w:rPr>
          <w:rtl w:val="true"/>
        </w:rPr>
        <w:t xml:space="preserve">، والناقص فيه تحديداً الترجيح المضبوط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>، ش</w:t>
      </w:r>
      <w:r>
        <w:rPr/>
        <w:t>9</w:t>
      </w:r>
      <w:r>
        <w:rPr>
          <w:rtl w:val="true"/>
        </w:rPr>
        <w:t xml:space="preserve">) </w:t>
      </w:r>
      <w:r>
        <w:rPr>
          <w:rtl w:val="true"/>
        </w:rPr>
        <w:t xml:space="preserve">والتقسيم الزمني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 xml:space="preserve">وتفسير التوصيات نفسها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أما المخططات المقترحة للترجيح </w:t>
      </w:r>
      <w:r>
        <w:rPr>
          <w:rtl w:val="true"/>
        </w:rPr>
        <w:t>([</w:t>
      </w:r>
      <w:r>
        <w:rPr/>
        <w:t>17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❌/❓) </w:t>
      </w:r>
      <w:r>
        <w:rPr>
          <w:rtl w:val="true"/>
        </w:rPr>
        <w:t>فلم تُقيَّم على مثل هذه البيانات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RQ1</w:t>
      </w:r>
      <w:r>
        <w:rPr>
          <w:b/>
          <w:b/>
          <w:bCs/>
          <w:rtl w:val="true"/>
        </w:rPr>
        <w:t>، و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في المجموعة على مرجع يقيس ما تضيفه الشخصنة فوق خط شعبية زمني، مع فصل اكتشاف الموارد الجديدة عن إعادة الوصول، وقياس شريحة المتعلمين ذوي التاريخ القصير منفصلةً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6</w:t>
      </w:r>
      <w:r>
        <w:rPr>
          <w:rtl w:val="true"/>
        </w:rPr>
        <w:t>، ش</w:t>
      </w:r>
      <w:r>
        <w:rPr/>
        <w:t>10</w:t>
      </w:r>
      <w:r>
        <w:rPr>
          <w:rtl w:val="true"/>
        </w:rPr>
        <w:t xml:space="preserve">). </w:t>
      </w:r>
      <w:r>
        <w:rPr>
          <w:rtl w:val="true"/>
        </w:rPr>
        <w:t xml:space="preserve">والأقرب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>، حيث جاء خط الشعبية أعلى من النموذج المقترح دون هذا الفصل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(← </w:t>
      </w:r>
      <w:r>
        <w:rPr>
          <w:b/>
          <w:bCs/>
        </w:rPr>
        <w:t>RQ3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المقارنة بين نموذج تسلسلي عصبوني وبدائل غير عصبونية مضبوطة غير محسومة في المجموعة </w:t>
      </w:r>
      <w:r>
        <w:rPr>
          <w:rtl w:val="true"/>
        </w:rPr>
        <w:t>([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❓)</w:t>
      </w:r>
      <w:r>
        <w:rPr>
          <w:rtl w:val="true"/>
        </w:rPr>
        <w:t xml:space="preserve">، ولم تُختبر على سلال أيام تعليمية بتقسيم زمني وكتالوج كامل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أ، ش</w:t>
      </w:r>
      <w:r>
        <w:rPr/>
        <w:t>5</w:t>
      </w:r>
      <w:r>
        <w:rPr>
          <w:rtl w:val="true"/>
        </w:rPr>
        <w:t>ب، ش</w:t>
      </w:r>
      <w:r>
        <w:rPr/>
        <w:t>6</w:t>
      </w:r>
      <w:r>
        <w:rPr>
          <w:rtl w:val="true"/>
        </w:rPr>
        <w:t xml:space="preserve">). </w:t>
      </w:r>
      <w:r>
        <w:rPr>
          <w:rtl w:val="true"/>
        </w:rPr>
        <w:t>فهي مسألة حسم مقارنة، لا غياب موضوع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ف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لا تدّعي الرسالة جدّةً في التنبؤ المبكر بالمتعلمين المعرّضين للخطر</w:t>
      </w:r>
      <w:r>
        <w:rPr>
          <w:rtl w:val="true"/>
        </w:rPr>
        <w:t xml:space="preserve">. </w:t>
      </w:r>
      <w:r>
        <w:rPr>
          <w:rtl w:val="true"/>
        </w:rPr>
        <w:t xml:space="preserve">فأدبياته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واسعة، وغير ممثلة في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وعُرضت عيّنة منها في القسم </w:t>
      </w:r>
      <w:r>
        <w:rPr/>
        <w:t>3.8</w:t>
      </w:r>
      <w:r>
        <w:rPr>
          <w:rtl w:val="true"/>
        </w:rPr>
        <w:t xml:space="preserve"> ([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]). </w:t>
      </w:r>
      <w:r>
        <w:rPr>
          <w:rtl w:val="true"/>
        </w:rPr>
        <w:t>ويُدرج هذا السؤال لخدمة الهدف الفرعي الثاني في الخطة، وليغذّي سياق العنقود في ف</w:t>
      </w:r>
      <w:r>
        <w:rPr/>
        <w:t>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درجة الثقة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لـ ف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وف</w:t>
      </w:r>
      <w:r>
        <w:rPr/>
        <w:t>2</w:t>
      </w:r>
      <w:r>
        <w:rPr>
          <w:rtl w:val="true"/>
        </w:rPr>
        <w:t xml:space="preserve">، فعناصرهما مسنودة بمراجع ✅ </w:t>
      </w:r>
      <w:r>
        <w:rPr>
          <w:rtl w:val="true"/>
        </w:rPr>
        <w:t>([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 xml:space="preserve">وبالجداول </w:t>
      </w:r>
      <w:r>
        <w:rPr/>
        <w:t>17</w:t>
      </w:r>
      <w:r>
        <w:rPr>
          <w:rtl w:val="true"/>
        </w:rPr>
        <w:t>–</w:t>
      </w:r>
      <w:r>
        <w:rPr/>
        <w:t>19</w:t>
      </w:r>
      <w:r>
        <w:rPr>
          <w:rtl w:val="true"/>
        </w:rPr>
        <w:t xml:space="preserve">. </w:t>
      </w:r>
      <w:r>
        <w:rPr>
          <w:rtl w:val="true"/>
        </w:rPr>
        <w:t xml:space="preserve">وهي محدودة بحدود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>، ولا تتضمن المجموعة مراجعات 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المواءمة مع القرارات المعتمدة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203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الكاملة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مستبعدة لعدم اجتيازها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غير متاحة في البيئة</w:t>
      </w:r>
      <w:r>
        <w:rPr>
          <w:rtl w:val="true"/>
        </w:rPr>
        <w:t xml:space="preserve">. </w:t>
      </w:r>
      <w:r>
        <w:rPr>
          <w:rtl w:val="true"/>
        </w:rPr>
        <w:t xml:space="preserve">لذلك تُستعمل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مرجعاً منهجياً لا معياراً رقمياً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04"/>
        </w:numPr>
        <w:bidi w:val="1"/>
        <w:rPr/>
      </w:pPr>
      <w:r>
        <w:rPr>
          <w:b/>
          <w:b/>
          <w:bCs/>
          <w:rtl w:val="true"/>
        </w:rPr>
        <w:t xml:space="preserve">وصف التسلسل في </w:t>
      </w:r>
      <w:r>
        <w:rPr>
          <w:b/>
          <w:bCs/>
        </w:rPr>
        <w:t>OULAD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دقة سجلاتها يوم واحد، فالتسلسل فيها </w:t>
      </w:r>
      <w:r>
        <w:rPr>
          <w:rtl w:val="true"/>
        </w:rPr>
        <w:t>«</w:t>
      </w:r>
      <w:r>
        <w:rPr>
          <w:rtl w:val="true"/>
        </w:rPr>
        <w:t>سلاسل سلال أيام</w:t>
      </w:r>
      <w:r>
        <w:rPr>
          <w:rtl w:val="true"/>
        </w:rPr>
        <w:t>» (</w:t>
      </w:r>
      <w:r>
        <w:rPr/>
        <w:t>basket-sequence</w:t>
      </w:r>
      <w:r>
        <w:rPr>
          <w:rtl w:val="true"/>
        </w:rPr>
        <w:t xml:space="preserve">) </w:t>
      </w:r>
      <w:r>
        <w:rPr>
          <w:rtl w:val="true"/>
        </w:rPr>
        <w:t xml:space="preserve">لا جلسات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20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أورد المؤلفون، 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)</w:t>
      </w:r>
      <w:r>
        <w:rPr>
          <w:rtl w:val="true"/>
        </w:rPr>
        <w:t xml:space="preserve">، أن خط الشعبية بلغ </w:t>
      </w:r>
      <w:r>
        <w:rPr/>
        <w:t>HR@10 = 0.911</w:t>
      </w:r>
      <w:r>
        <w:rPr>
          <w:rtl w:val="true"/>
        </w:rPr>
        <w:t xml:space="preserve"> </w:t>
      </w:r>
      <w:r>
        <w:rPr>
          <w:rtl w:val="true"/>
        </w:rPr>
        <w:t xml:space="preserve">بوسيط رتبة </w:t>
      </w:r>
      <w:r>
        <w:rPr/>
        <w:t>1</w:t>
      </w:r>
      <w:r>
        <w:rPr>
          <w:rtl w:val="true"/>
        </w:rPr>
        <w:t xml:space="preserve">، مقابل </w:t>
      </w:r>
      <w:r>
        <w:rPr/>
        <w:t>0.922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بالوسيط نفسه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29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]). </w:t>
      </w:r>
      <w:r>
        <w:rPr>
          <w:rtl w:val="true"/>
        </w:rPr>
        <w:t xml:space="preserve">ويُرجَّح أن مهمة </w:t>
      </w:r>
      <w:r>
        <w:rPr>
          <w:rtl w:val="true"/>
        </w:rPr>
        <w:t>«</w:t>
      </w:r>
      <w:r>
        <w:rPr>
          <w:rtl w:val="true"/>
        </w:rPr>
        <w:t>المورد التالي</w:t>
      </w:r>
      <w:r>
        <w:rPr>
          <w:rtl w:val="true"/>
        </w:rPr>
        <w:t>»</w:t>
      </w:r>
      <w:r>
        <w:rPr>
          <w:rtl w:val="true"/>
        </w:rPr>
        <w:t>، حين تبقى صفحات التنقل والإعادات في الهدف، مشبعة بالشعبية</w:t>
      </w:r>
      <w:r>
        <w:rPr>
          <w:rtl w:val="true"/>
        </w:rPr>
        <w:t xml:space="preserve">. </w:t>
      </w:r>
      <w:r>
        <w:rPr>
          <w:rtl w:val="true"/>
        </w:rPr>
        <w:t xml:space="preserve">ويُقاس ذلك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في فصل المنهجية</w:t>
      </w:r>
      <w:r>
        <w:rPr>
          <w:rtl w:val="true"/>
        </w:rPr>
        <w:t xml:space="preserve">. </w:t>
      </w:r>
      <w:r>
        <w:rPr>
          <w:rtl w:val="true"/>
        </w:rPr>
        <w:t xml:space="preserve">ولهذا تفصل الرسالة اكتشاف الموارد الجديدة عن الإعادة، وتستبعد أنواع التنقل من الهدف </w:t>
      </w:r>
      <w:r>
        <w:rPr>
          <w:rtl w:val="true"/>
        </w:rPr>
        <w:t>(</w:t>
      </w:r>
      <w:r>
        <w:rPr/>
        <w:t>D-07</w:t>
      </w:r>
      <w:r>
        <w:rPr/>
        <w:t xml:space="preserve">،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206"/>
        </w:numPr>
        <w:bidi w:val="1"/>
        <w:rPr/>
      </w:pPr>
      <w:r>
        <w:rPr>
          <w:b/>
          <w:b/>
          <w:bCs/>
          <w:rtl w:val="true"/>
        </w:rPr>
        <w:t>الكلمات المفتاحية للخطة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ADR-003</w:t>
      </w:r>
      <w:r>
        <w:rPr>
          <w:rtl w:val="true"/>
        </w:rPr>
        <w:t>):</w:t>
      </w:r>
    </w:p>
    <w:p>
      <w:pPr>
        <w:pStyle w:val="Compact"/>
        <w:numPr>
          <w:ilvl w:val="1"/>
          <w:numId w:val="207"/>
        </w:numPr>
        <w:bidi w:val="1"/>
        <w:rPr/>
      </w:pPr>
      <w:r>
        <w:rPr>
          <w:i/>
          <w:iCs/>
        </w:rPr>
        <w:t>RNN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يبقى داخل النطاق </w:t>
      </w:r>
      <w:r>
        <w:rPr>
          <w:b/>
          <w:b/>
          <w:bCs/>
          <w:rtl w:val="true"/>
        </w:rPr>
        <w:t>ملزماً</w:t>
      </w:r>
      <w:r>
        <w:rPr>
          <w:rtl w:val="true"/>
        </w:rPr>
        <w:t xml:space="preserve"> بصيغة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مكتوبة بـ </w:t>
      </w:r>
      <w:r>
        <w:rPr/>
        <w:t>numpy</w:t>
      </w:r>
      <w:r>
        <w:rPr>
          <w:rtl w:val="true"/>
        </w:rPr>
        <w:t xml:space="preserve">، ويُقارن بإنصاف مع 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 (D-12</w:t>
      </w:r>
      <w:r>
        <w:rPr/>
        <w:t xml:space="preserve">، </w:t>
      </w:r>
      <w:r>
        <w:rPr/>
        <w:t>D-17)</w:t>
      </w:r>
      <w:r>
        <w:rPr>
          <w:rtl w:val="true"/>
        </w:rPr>
        <w:t>، وهو موضوع ف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>.</w:t>
      </w:r>
    </w:p>
    <w:p>
      <w:pPr>
        <w:pStyle w:val="Compact"/>
        <w:numPr>
          <w:ilvl w:val="1"/>
          <w:numId w:val="208"/>
        </w:numPr>
        <w:bidi w:val="1"/>
        <w:rPr/>
      </w:pPr>
      <w:r>
        <w:rPr>
          <w:i/>
          <w:iCs/>
        </w:rPr>
        <w:t>CNN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مستبعد</w:t>
      </w:r>
      <w:r>
        <w:rPr>
          <w:rtl w:val="true"/>
        </w:rPr>
        <w:t xml:space="preserve"> بتبرير مكتوب </w:t>
      </w:r>
      <w:r>
        <w:rPr>
          <w:rtl w:val="true"/>
        </w:rPr>
        <w:t>(</w:t>
      </w:r>
      <w:r>
        <w:rPr/>
        <w:t>D-18</w:t>
      </w:r>
      <w:r>
        <w:rPr>
          <w:rtl w:val="true"/>
        </w:rPr>
        <w:t xml:space="preserve">). </w:t>
      </w:r>
      <w:r>
        <w:rPr>
          <w:rtl w:val="true"/>
        </w:rPr>
        <w:t xml:space="preserve">مرجعه الوحيد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غير قابل للتكرار،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لا يصف بنية شبكته، والسلال اليومية غير مرتبة داخلياً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209"/>
        </w:numPr>
        <w:bidi w:val="1"/>
        <w:rPr/>
      </w:pPr>
      <w:r>
        <w:rPr>
          <w:i/>
          <w:iCs/>
        </w:rPr>
        <w:t>RBFNN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مصنِّف اختياري للمتعلمين في المستوى </w:t>
      </w:r>
      <w:r>
        <w:rPr/>
        <w:t>3</w:t>
      </w:r>
      <w:r>
        <w:rPr>
          <w:rtl w:val="true"/>
        </w:rPr>
        <w:t xml:space="preserve"> (</w:t>
      </w:r>
      <w:r>
        <w:rPr/>
        <w:t>D-13</w:t>
      </w:r>
      <w:r>
        <w:rPr/>
        <w:t xml:space="preserve">، </w:t>
      </w:r>
      <w:r>
        <w:rPr/>
        <w:t>D-17</w:t>
      </w:r>
      <w:r>
        <w:rPr>
          <w:rtl w:val="true"/>
        </w:rPr>
        <w:t>)</w:t>
      </w:r>
      <w:r>
        <w:rPr>
          <w:rtl w:val="true"/>
        </w:rPr>
        <w:t xml:space="preserve">، بدل استخدامه داخل مُوصٍ تجاري كما في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].</w:t>
      </w:r>
    </w:p>
    <w:p>
      <w:pPr>
        <w:pStyle w:val="Compact"/>
        <w:numPr>
          <w:ilvl w:val="1"/>
          <w:numId w:val="210"/>
        </w:numPr>
        <w:bidi w:val="1"/>
        <w:rPr/>
      </w:pPr>
      <w:r>
        <w:rPr>
          <w:i/>
          <w:iCs/>
        </w:rPr>
        <w:t>CF</w:t>
      </w:r>
      <w:r>
        <w:rPr>
          <w:i/>
          <w:iCs/>
          <w:rtl w:val="true"/>
        </w:rPr>
        <w:t xml:space="preserve"> </w:t>
      </w:r>
      <w:r>
        <w:rPr>
          <w:i/>
          <w:i/>
          <w:iCs/>
          <w:rtl w:val="true"/>
        </w:rPr>
        <w:t>و</w:t>
      </w:r>
      <w:r>
        <w:rPr>
          <w:i/>
          <w:iCs/>
        </w:rPr>
        <w:t>CBF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يمثّلهما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>، 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بالسمات المعلن ضعفه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تبلغ </w:t>
      </w:r>
      <w:r>
        <w:rPr/>
        <w:t>0.434</w:t>
      </w:r>
      <w:r>
        <w:rPr>
          <w:rtl w:val="true"/>
        </w:rPr>
        <w:t>).</w:t>
      </w:r>
    </w:p>
    <w:p>
      <w:pPr>
        <w:pStyle w:val="Compact"/>
        <w:numPr>
          <w:ilvl w:val="1"/>
          <w:numId w:val="211"/>
        </w:numPr>
        <w:bidi w:val="1"/>
        <w:rPr/>
      </w:pPr>
      <w:r>
        <w:rPr>
          <w:i/>
          <w:i/>
          <w:iCs/>
          <w:rtl w:val="true"/>
        </w:rPr>
        <w:t>السياق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سياق زمني وجدولي يدخل النموذج</w:t>
      </w:r>
      <w:r>
        <w:rPr>
          <w:rtl w:val="true"/>
        </w:rPr>
        <w:t xml:space="preserve">: </w:t>
      </w:r>
      <w:r>
        <w:rPr/>
        <w:t>Recent-Pop</w:t>
      </w:r>
      <w:r>
        <w:rPr>
          <w:rtl w:val="true"/>
        </w:rPr>
        <w:t xml:space="preserve">، وأسبقية قرب التقييم، وشعبية العنقود </w:t>
      </w:r>
      <w:r>
        <w:rPr>
          <w:rtl w:val="true"/>
        </w:rPr>
        <w:t>(</w:t>
      </w:r>
      <w:r>
        <w:rPr/>
        <w:t>ADR-002</w:t>
      </w:r>
      <w:r>
        <w:rPr>
          <w:rtl w:val="true"/>
        </w:rPr>
        <w:t xml:space="preserve">؛ وانظر تعريف السياق في القسم </w:t>
      </w:r>
      <w:r>
        <w:rPr/>
        <w:t>2.1</w:t>
      </w:r>
      <w:r>
        <w:rPr>
          <w:rtl w:val="true"/>
        </w:rPr>
        <w:t>).</w:t>
      </w:r>
      <w:bookmarkEnd w:id="91"/>
    </w:p>
    <w:p>
      <w:pPr>
        <w:pStyle w:val="Heading2"/>
        <w:bidi w:val="1"/>
        <w:rPr/>
      </w:pPr>
      <w:bookmarkStart w:id="92" w:name="__RefHeading___Toc15024_277087200"/>
      <w:bookmarkStart w:id="93" w:name="تقييد-الجدة-أعمال-أساسية-خارج-المجموعة"/>
      <w:bookmarkEnd w:id="92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تقييد الجدّة</w:t>
      </w:r>
      <w:r>
        <w:rPr>
          <w:rtl w:val="true"/>
        </w:rPr>
        <w:t xml:space="preserve">: </w:t>
      </w:r>
      <w:r>
        <w:rPr>
          <w:rtl w:val="true"/>
        </w:rPr>
        <w:t>أعمال أساسية خارج المجموعة</w:t>
      </w:r>
    </w:p>
    <w:p>
      <w:pPr>
        <w:pStyle w:val="Normal"/>
        <w:bidi w:val="1"/>
        <w:rPr/>
      </w:pPr>
      <w:r>
        <w:rPr>
          <w:rtl w:val="true"/>
        </w:rPr>
        <w:t>الأعمال الآتية ليست في المستودع</w:t>
      </w:r>
      <w:r>
        <w:rPr>
          <w:rtl w:val="true"/>
        </w:rPr>
        <w:t xml:space="preserve">. </w:t>
      </w:r>
      <w:r>
        <w:rPr>
          <w:rtl w:val="true"/>
        </w:rPr>
        <w:t xml:space="preserve">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</w:t>
      </w:r>
      <w:r>
        <w:rPr>
          <w:rtl w:val="true"/>
        </w:rPr>
        <w:t>، ولا يُسند إليها هنا إلا ما يظهر في ملخصها أو صفحة فهرسها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2"/>
        </w:numPr>
        <w:bidi w:val="1"/>
        <w:rPr/>
      </w:pPr>
      <w:r>
        <w:rPr>
          <w:b/>
          <w:b/>
          <w:bCs/>
          <w:rtl w:val="true"/>
        </w:rPr>
        <w:t>ترجيح الإشارة الضمنية بالثقة</w:t>
      </w:r>
      <w:r>
        <w:rPr>
          <w:rtl w:val="true"/>
        </w:rPr>
        <w:t xml:space="preserve"> قائم منذ </w:t>
      </w:r>
      <w:r>
        <w:rPr/>
        <w:t>WRMF [39]</w:t>
      </w:r>
      <w:r>
        <w:rPr>
          <w:rtl w:val="true"/>
        </w:rPr>
        <w:t>، الذي يجعل الثقة تتزايد مع شدّة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ومنه 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للترتيب من التغذية الضمنية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213"/>
        </w:numPr>
        <w:bidi w:val="1"/>
        <w:rPr/>
      </w:pPr>
      <w:r>
        <w:rPr>
          <w:b/>
          <w:b/>
          <w:bCs/>
          <w:rtl w:val="true"/>
        </w:rPr>
        <w:t>التوصية بالجلسة بالشبكات المتكررة</w:t>
      </w:r>
      <w:r>
        <w:rPr>
          <w:rtl w:val="true"/>
        </w:rPr>
        <w:t xml:space="preserve"> قدّمها </w:t>
      </w:r>
      <w:r>
        <w:rPr/>
        <w:t>GRU4Rec [41]</w:t>
      </w:r>
      <w:r>
        <w:rPr>
          <w:rtl w:val="true"/>
        </w:rPr>
        <w:t xml:space="preserve">، المبني على وحدة </w:t>
      </w:r>
      <w:r>
        <w:rPr/>
        <w:t>GRU [45]</w:t>
      </w:r>
      <w:r>
        <w:rPr>
          <w:rtl w:val="true"/>
        </w:rPr>
        <w:t xml:space="preserve">. </w:t>
      </w:r>
      <w:r>
        <w:rPr>
          <w:rtl w:val="true"/>
        </w:rPr>
        <w:t xml:space="preserve">وبيّنت أعمال لاحقة أن الجيران الجلسيين ينافسونه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وأن طرائق الجيران الأبسط كثيراً ما تعادل الطرائق العميقة أو تتفوق عليها في تقييم مقارن لخوارزميات الجلسة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214"/>
        </w:numPr>
        <w:bidi w:val="1"/>
        <w:rPr/>
      </w:pPr>
      <w:r>
        <w:rPr>
          <w:b/>
          <w:b/>
          <w:bCs/>
          <w:rtl w:val="true"/>
        </w:rPr>
        <w:t>أزمة خطوط الأساس الضعيفة</w:t>
      </w:r>
      <w:r>
        <w:rPr>
          <w:rtl w:val="true"/>
        </w:rPr>
        <w:t xml:space="preserve"> في التوصية العصبونية موثّقة في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وأن المقاييس المحسوبة على عيّنات سوالب لا تحفظ المقارنات النسبية بين النماذج موثّق في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215"/>
        </w:numPr>
        <w:bidi w:val="1"/>
        <w:rPr/>
      </w:pPr>
      <w:r>
        <w:rPr>
          <w:b/>
          <w:b/>
          <w:bCs/>
          <w:rtl w:val="true"/>
        </w:rPr>
        <w:t xml:space="preserve">توصيف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منشور في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b/>
          <w:b/>
          <w:bCs/>
          <w:rtl w:val="true"/>
        </w:rPr>
        <w:t>أنماط إدخال السياق</w:t>
      </w:r>
      <w:r>
        <w:rPr>
          <w:rtl w:val="true"/>
        </w:rPr>
        <w:t xml:space="preserve"> معالجة في </w:t>
      </w:r>
      <w:r>
        <w:rPr>
          <w:rtl w:val="true"/>
        </w:rPr>
        <w:t>[</w:t>
      </w:r>
      <w:r>
        <w:rPr/>
        <w:t>48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الذي تساهم به الرسالة إذن؟</w:t>
      </w:r>
      <w:r>
        <w:rPr>
          <w:rtl w:val="true"/>
        </w:rPr>
        <w:t xml:space="preserve"> المساهمة </w:t>
      </w:r>
      <w:r>
        <w:rPr>
          <w:b/>
          <w:b/>
          <w:bCs/>
          <w:rtl w:val="true"/>
        </w:rPr>
        <w:t>تجريبية ومنهجية لا خوارزمية جديدة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D-20</w:t>
      </w:r>
      <w:r>
        <w:rPr>
          <w:rtl w:val="true"/>
        </w:rPr>
        <w:t xml:space="preserve">). </w:t>
      </w:r>
      <w:r>
        <w:rPr>
          <w:rtl w:val="true"/>
        </w:rPr>
        <w:t xml:space="preserve">فترجيح الإشارة الضمنية فكرة قائمة 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والجيران الجلسيون 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معروفون منذ </w:t>
      </w:r>
      <w:r>
        <w:rPr>
          <w:rtl w:val="true"/>
        </w:rPr>
        <w:t>[</w:t>
      </w:r>
      <w:r>
        <w:rPr/>
        <w:t>41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المقترح هو </w:t>
      </w:r>
      <w:r>
        <w:rPr>
          <w:b/>
          <w:b/>
          <w:bCs/>
          <w:rtl w:val="true"/>
        </w:rPr>
        <w:t xml:space="preserve">اختبار هذه الأفكار استئصالياً على سجلات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تعليمية عامة</w:t>
      </w:r>
      <w:r>
        <w:rPr>
          <w:rtl w:val="true"/>
        </w:rPr>
        <w:t>، ببروتوكول زمني على الكتالوج الكامل، يفصل اكتشاف الموارد الجديدة عن الإعادة</w:t>
      </w:r>
      <w:r>
        <w:rPr>
          <w:rtl w:val="true"/>
        </w:rPr>
        <w:t xml:space="preserve">. </w:t>
      </w:r>
      <w:r>
        <w:rPr>
          <w:rtl w:val="true"/>
        </w:rPr>
        <w:t>ويقيس الاختبار ما تضيفه إشارات السلوك والشخصنة فوق شعبية الجدول الدراسي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ولا تُدّعى جدّة في </w:t>
      </w:r>
      <w:r>
        <w:rPr>
          <w:b/>
          <w:bCs/>
        </w:rPr>
        <w:t>RQ4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ويُقيَّد هذا الادعاء كله بالمجموعة المحللة إلى أن يُجرى بحث أدبي أوسع</w:t>
      </w:r>
      <w:r>
        <w:rPr>
          <w:rtl w:val="true"/>
        </w:rPr>
        <w:t>.</w:t>
      </w:r>
      <w:bookmarkEnd w:id="93"/>
    </w:p>
    <w:p>
      <w:pPr>
        <w:pStyle w:val="Heading2"/>
        <w:bidi w:val="1"/>
        <w:rPr/>
      </w:pPr>
      <w:bookmarkStart w:id="94" w:name="__RefHeading___Toc15026_277087200"/>
      <w:bookmarkEnd w:id="94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الاستنتاجات الأولية وارتباطها بأسئلة البحث</w:t>
      </w:r>
    </w:p>
    <w:p>
      <w:pPr>
        <w:pStyle w:val="Normal"/>
        <w:bidi w:val="1"/>
        <w:rPr/>
      </w:pPr>
      <w:r>
        <w:rPr>
          <w:rtl w:val="true"/>
        </w:rPr>
        <w:t xml:space="preserve">يميّز كل استنتاج بين </w:t>
      </w:r>
      <w:r>
        <w:rPr>
          <w:b/>
          <w:b/>
          <w:bCs/>
          <w:rtl w:val="true"/>
        </w:rPr>
        <w:t>دعم قوي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دعم ثانوي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⚠️ أو ❓ أو ❌، أو أعمال خارج المجموعة محقَّقة البيانات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خطوط الأساس البسيطة وغير الشخصية منافسة، والتعقيد لا يضمن التحسن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✅. </w:t>
      </w:r>
      <w:r>
        <w:rPr>
          <w:rtl w:val="true"/>
        </w:rPr>
        <w:t xml:space="preserve">التنقيح الجشع يحقق نحو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(</w:t>
      </w:r>
      <w:r>
        <w:rPr>
          <w:rtl w:val="true"/>
        </w:rPr>
        <w:t>حساب الباحث</w:t>
      </w:r>
      <w:r>
        <w:rPr>
          <w:rtl w:val="true"/>
        </w:rPr>
        <w:t>)</w:t>
      </w:r>
      <w:r>
        <w:rPr>
          <w:rtl w:val="true"/>
        </w:rPr>
        <w:t xml:space="preserve">، وأورد المؤلفون </w:t>
      </w:r>
      <w:r>
        <w:rPr/>
        <w:t>GRU (0.6863)</w:t>
      </w:r>
      <w:r>
        <w:rPr>
          <w:rtl w:val="true"/>
        </w:rPr>
        <w:t xml:space="preserve"> </w:t>
      </w:r>
      <w:r>
        <w:rPr>
          <w:rtl w:val="true"/>
        </w:rPr>
        <w:t xml:space="preserve">أدنى من </w:t>
      </w:r>
      <w:r>
        <w:rPr/>
        <w:t>NAIS (0.6905)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</w:t>
      </w:r>
      <w:r>
        <w:rPr>
          <w:rtl w:val="true"/>
        </w:rPr>
        <w:t>] ❓ (</w:t>
      </w:r>
      <w:r>
        <w:rPr>
          <w:rtl w:val="true"/>
        </w:rPr>
        <w:t xml:space="preserve">الجيران الجلسيون أفضل من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جداوله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الشعبية 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 xml:space="preserve"> </w:t>
      </w:r>
      <w:r>
        <w:rPr>
          <w:rtl w:val="true"/>
        </w:rPr>
        <w:t xml:space="preserve">للهجين في </w:t>
      </w:r>
      <w:r>
        <w:rPr/>
        <w:t>NDCG@10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⚠️ (</w:t>
      </w:r>
      <w:r>
        <w:rPr>
          <w:rtl w:val="true"/>
        </w:rPr>
        <w:t xml:space="preserve">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]–[</w:t>
      </w:r>
      <w:r>
        <w:rPr/>
        <w:t>44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الإشارات السلوكية فرضية للاختبار، لا يوجد عليها دليل مباشر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ما يوجد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ارتباط الإكمال بالنتيجة النهائية في مصنِّف بديل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لا في نموذج التوصية؛ ونسبة المشاهدة ميزةً داخل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دون استئصال منفرد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؛ وتعريف للسوالب بعتبات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 ⚠️</w:t>
      </w:r>
      <w:r>
        <w:rPr>
          <w:rtl w:val="true"/>
        </w:rPr>
        <w:t xml:space="preserve">، وهو تعريف لا دليل؛ ومثال توضيحي على التناثر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⚠️.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</w:t>
      </w:r>
      <w:r>
        <w:rPr>
          <w:rtl w:val="true"/>
        </w:rPr>
        <w:t xml:space="preserve">. </w:t>
      </w:r>
      <w:r>
        <w:rPr>
          <w:rtl w:val="true"/>
        </w:rPr>
        <w:t>وهذا يقوّي الفجوة ولا يضعفها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أنواع الأحداث مع اضمحلال زمني تصميم متكرر لم يُختبر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26</w:t>
      </w:r>
      <w:r>
        <w:rPr>
          <w:rtl w:val="true"/>
        </w:rPr>
        <w:t>] ✅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دون استئصال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✅ (</w:t>
      </w:r>
      <w:r>
        <w:rPr>
          <w:rtl w:val="true"/>
        </w:rPr>
        <w:t>تغيّر الاهتمامات، في التجارة الإلكترونية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مع اضمحلال،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طلاب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 ❌/❓ (</w:t>
      </w:r>
      <w:r>
        <w:rPr>
          <w:rtl w:val="true"/>
        </w:rPr>
        <w:t>اصطناعي</w:t>
      </w:r>
      <w:r>
        <w:rPr>
          <w:rtl w:val="true"/>
        </w:rPr>
        <w:t>)</w:t>
      </w:r>
      <w:r>
        <w:rPr>
          <w:rtl w:val="true"/>
        </w:rPr>
        <w:t xml:space="preserve">؛ والفكرة الأصل في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في أنه غير مختبر داخل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فائدة ترتيب التفاعلات غير محسومة، ويلزم مقارنة نموذج تسلسلي عصبوني ببدائل غير عصبونية مضبوطة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>] ✅ (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 xml:space="preserve">الأعلى بين خطوط الأساس، لكن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دون </w:t>
      </w:r>
      <w:r>
        <w:rPr/>
        <w:t>NAIS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 ✅ (</w:t>
      </w:r>
      <w:r>
        <w:rPr>
          <w:rtl w:val="true"/>
        </w:rPr>
        <w:t>بلا أرقام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18</w:t>
      </w:r>
      <w:r>
        <w:rPr>
          <w:rtl w:val="true"/>
        </w:rPr>
        <w:t>] ⚠️ (</w:t>
      </w:r>
      <w:r>
        <w:rPr>
          <w:rtl w:val="true"/>
        </w:rPr>
        <w:t>بُعد المسار أفاد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قرب الشعبية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ولا يُعدّ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دعماً، لأن كل خطوط أساسه تسلسلية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 إلى 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الأرقام تابعة للبروتوكول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فلا يُحكم على نموذج إلا بتقسيم زمني وترتيب على الكتالوج الكامل، مع خطوط أساس على التقسيم نفسه</w:t>
      </w:r>
      <w:r>
        <w:rPr>
          <w:rtl w:val="true"/>
        </w:rPr>
        <w:t xml:space="preserve">. ← </w:t>
      </w:r>
      <w:r>
        <w:rPr>
          <w:rtl w:val="true"/>
        </w:rPr>
        <w:t>منهجية كل الأسئلة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14</w:t>
      </w:r>
      <w:r>
        <w:rPr>
          <w:rtl w:val="true"/>
        </w:rPr>
        <w:t>] ✅ (</w:t>
      </w:r>
      <w:r>
        <w:rPr>
          <w:rtl w:val="true"/>
        </w:rPr>
        <w:t>رقم يتجاوز الحد النظري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✅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 (</w:t>
      </w:r>
      <w:r>
        <w:rPr>
          <w:rtl w:val="true"/>
        </w:rPr>
        <w:t>تباين على العائلة نفسها من البيانات، مع عوامل غير مضبوطة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برهان داخلي</w:t>
      </w:r>
      <w:r>
        <w:rPr>
          <w:rtl w:val="true"/>
        </w:rPr>
        <w:t xml:space="preserve">: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0.43</w:t>
      </w:r>
      <w:r>
        <w:rPr>
          <w:rtl w:val="true"/>
        </w:rPr>
        <w:t>–</w:t>
      </w:r>
      <w:r>
        <w:rPr/>
        <w:t>0.92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ملامح السلوك تصلح لتصنيف المتعلمين وتجميعهم، والبدء البارد والشرائح الضعيفة تحتاج معالجة وقياساً منفصلين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RQ4</w:t>
      </w:r>
      <w:r>
        <w:rPr>
          <w:rtl w:val="true"/>
        </w:rPr>
        <w:t xml:space="preserve">، وشريحة البدء البارد في </w:t>
      </w:r>
      <w:r>
        <w:rPr/>
        <w:t>RQ1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29</w:t>
      </w:r>
      <w:r>
        <w:rPr>
          <w:rtl w:val="true"/>
        </w:rPr>
        <w:t>] ✅ (</w:t>
      </w:r>
      <w:r>
        <w:rPr>
          <w:rtl w:val="true"/>
        </w:rPr>
        <w:t>ملامح الجلسة إلى مستوى المتعلم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 ✅ (</w:t>
      </w:r>
      <w:r>
        <w:rPr>
          <w:rtl w:val="true"/>
        </w:rPr>
        <w:t>ملف من إشارات ضمنية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 ✅ (</w:t>
      </w:r>
      <w:r>
        <w:rPr>
          <w:rtl w:val="true"/>
        </w:rPr>
        <w:t>تجميع للبدء البارد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 ✅ (</w:t>
      </w:r>
      <w:r>
        <w:rPr>
          <w:rtl w:val="true"/>
        </w:rPr>
        <w:t>مقاييس التجميع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6</w:t>
      </w:r>
      <w:r>
        <w:rPr>
          <w:rtl w:val="true"/>
        </w:rPr>
        <w:t>] ⚠️ (</w:t>
      </w:r>
      <w:r>
        <w:rPr>
          <w:rtl w:val="true"/>
        </w:rPr>
        <w:t>تنبؤ الإكمال</w:t>
      </w:r>
      <w:r>
        <w:rPr>
          <w:rtl w:val="true"/>
        </w:rPr>
        <w:t xml:space="preserve">: </w:t>
      </w:r>
      <w:r>
        <w:rPr/>
        <w:t>F = 72.0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>التراجع المتدرج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أورد المؤلفون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>أدنى للراسبين والمنسحبين</w:t>
      </w:r>
      <w:r>
        <w:rPr>
          <w:rtl w:val="true"/>
        </w:rPr>
        <w:t xml:space="preserve">: </w:t>
      </w:r>
      <w:r>
        <w:rPr/>
        <w:t>0.890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0.871</w:t>
      </w:r>
      <w:r>
        <w:rPr>
          <w:rtl w:val="true"/>
        </w:rPr>
        <w:t xml:space="preserve">، مقابل </w:t>
      </w:r>
      <w:r>
        <w:rPr/>
        <w:t>0.960</w:t>
      </w:r>
      <w:r>
        <w:rPr>
          <w:rtl w:val="true"/>
        </w:rPr>
        <w:t xml:space="preserve"> </w:t>
      </w:r>
      <w:r>
        <w:rPr>
          <w:rtl w:val="true"/>
        </w:rPr>
        <w:t>للمتميزين، ولذوي البدء البارد</w:t>
      </w:r>
      <w:r>
        <w:rPr>
          <w:rtl w:val="true"/>
        </w:rPr>
        <w:t xml:space="preserve">: </w:t>
      </w:r>
      <w:r>
        <w:rPr/>
        <w:t>0.848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0.948</w:t>
      </w:r>
      <w:r>
        <w:rPr>
          <w:rtl w:val="true"/>
        </w:rPr>
        <w:t>)</w:t>
      </w:r>
      <w:r>
        <w:rPr>
          <w:rtl w:val="true"/>
        </w:rPr>
        <w:t xml:space="preserve">؛ ومن خارج المجموعة </w:t>
      </w: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 (</w:t>
      </w:r>
      <w:r>
        <w:rPr>
          <w:rtl w:val="true"/>
        </w:rPr>
        <w:t xml:space="preserve">ملامح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تتنبأ بالانسحاب والأداء، القسم </w:t>
      </w:r>
      <w:r>
        <w:rPr/>
        <w:t>3.8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متوسطة في قابلية التنبؤ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3.8</w:t>
      </w:r>
      <w:r>
        <w:rPr>
          <w:rtl w:val="true"/>
        </w:rPr>
        <w:t>)</w:t>
      </w:r>
      <w:r>
        <w:rPr>
          <w:rtl w:val="true"/>
        </w:rPr>
        <w:t>، منخفضة إلى متوسطة في أثر العنقود على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ربط أسئلة البحث بفقرات الفجوة ومعاييرها والاستنتاجات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5048"/>
        <w:gridCol w:w="957"/>
        <w:gridCol w:w="1131"/>
        <w:gridCol w:w="1044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السؤال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D-20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نصّه المختصر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فقرة الفجوة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معايير الفجوة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الاستنتاجات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RQ1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الهجين على أقوى خط أساس غير 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اكتشاف الموارد الجديدة؟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RQ2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يحسّن ترجيح الإشارات الضمنية التوصية مقارنة بالثنائية؟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RQ3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أفضل تسلسلي غير عصبوني؟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RQ4</w:t>
            </w:r>
          </w:p>
        </w:tc>
        <w:tc>
          <w:tcPr>
            <w:tcW w:w="5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التنبؤ المبكر بالخطر؛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سياق العنقود لذوي التاريخ القصير</w:t>
            </w:r>
          </w:p>
        </w:tc>
        <w:tc>
          <w:tcPr>
            <w:tcW w:w="9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ادعاء جدّة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القسم 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ف</w:t>
            </w: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0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6</w:t>
            </w:r>
            <w:bookmarkStart w:id="95" w:name="X50466a7e6afcd0ff43d50f348d7d1a06fb6e19c"/>
            <w:bookmarkEnd w:id="95"/>
          </w:p>
        </w:tc>
      </w:tr>
    </w:tbl>
    <w:p>
      <w:pPr>
        <w:pStyle w:val="Heading2"/>
        <w:bidi w:val="1"/>
        <w:rPr/>
      </w:pPr>
      <w:bookmarkStart w:id="96" w:name="__RefHeading___Toc15028_277087200"/>
      <w:bookmarkEnd w:id="96"/>
      <w:r>
        <w:rPr/>
        <w:t>7.5</w:t>
      </w:r>
      <w:r>
        <w:rPr>
          <w:rtl w:val="true"/>
        </w:rPr>
        <w:t xml:space="preserve"> </w:t>
      </w:r>
      <w:r>
        <w:rPr>
          <w:rtl w:val="true"/>
        </w:rPr>
        <w:t>نقطة الانطلاق</w:t>
      </w:r>
    </w:p>
    <w:p>
      <w:pPr>
        <w:pStyle w:val="Normal"/>
        <w:bidi w:val="1"/>
        <w:rPr/>
      </w:pPr>
      <w:r>
        <w:rPr>
          <w:rtl w:val="true"/>
        </w:rPr>
        <w:t>تُعدّ المراجع الآتية الأساس المباشر للرسالة</w:t>
      </w:r>
      <w:r>
        <w:rPr>
          <w:rtl w:val="true"/>
        </w:rPr>
        <w:t xml:space="preserve">. </w:t>
      </w:r>
      <w:r>
        <w:rPr>
          <w:rtl w:val="true"/>
        </w:rPr>
        <w:t>اختيرت بناءً على البطاقات وأحكام المصداقية، وتعرضها القائمة مرتبة حسب طبيعة الإسهام، مع حدود الاستفادة من كل منها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1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أساس تجريبي موثوق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يقدّم تقسيماً زمنياً صريحاً، وجدول خطوط أساس شاملاً، وشيفرة منشورة، ونسبة المشاهدة إشارةَ جهد</w:t>
      </w:r>
      <w:r>
        <w:rPr>
          <w:rtl w:val="true"/>
        </w:rPr>
        <w:t xml:space="preserve">. </w:t>
      </w:r>
      <w:r>
        <w:rPr>
          <w:rtl w:val="true"/>
        </w:rPr>
        <w:t>وتؤخذ منه فكرة إزالة الضوضاء من الملف بقاعدة بسيطة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❓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والترتيب على الكتالوج الكامل وخطوطاً معاد تنفيذها وتحليل شرائح</w:t>
      </w:r>
      <w:r>
        <w:rPr>
          <w:rtl w:val="true"/>
        </w:rPr>
        <w:t xml:space="preserve">. </w:t>
      </w:r>
      <w:r>
        <w:rPr>
          <w:rtl w:val="true"/>
        </w:rPr>
        <w:t xml:space="preserve">لكن وعاءه لم يُتحقَّق منه، ومهمته قد تكون مشبعة بالشعبية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)</w:t>
      </w:r>
      <w:r>
        <w:rPr>
          <w:rtl w:val="true"/>
        </w:rPr>
        <w:t>، فلا تؤخذ أرقامه معياراً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1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أساس فكري للتحويل، ودرس فيما يُتجنَّب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يحوّل المدة والتكرار والإشارات المرجعية إلى تفضيل، لكن تقييمه دائري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26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لمخطط الترجيح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يؤخذ منهما مخطط أوزان أنواع الأحداث والاضمحلال ومنطق التراجع للبدء البارد، لا أرقامهما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22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مصدران لتعريف الإشارات وملامح المتعلم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0"/>
          <w:numId w:val="221"/>
        </w:numPr>
        <w:bidi w:val="1"/>
        <w:rPr/>
      </w:pPr>
      <w:r>
        <w:rPr>
          <w:b/>
          <w:b/>
          <w:bCs/>
          <w:rtl w:val="true"/>
        </w:rPr>
        <w:t>مراجع محقَّقة من خارج المستودع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222"/>
        </w:numPr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>
          <w:rtl w:val="true"/>
        </w:rPr>
        <w:t>مرجع البيانات</w:t>
      </w:r>
      <w:r>
        <w:rPr>
          <w:rtl w:val="true"/>
        </w:rPr>
        <w:t>.</w:t>
      </w:r>
    </w:p>
    <w:p>
      <w:pPr>
        <w:pStyle w:val="Compact"/>
        <w:numPr>
          <w:ilvl w:val="1"/>
          <w:numId w:val="223"/>
        </w:numPr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 </w:t>
      </w:r>
      <w:r>
        <w:rPr>
          <w:rtl w:val="true"/>
        </w:rPr>
        <w:t>مراجع الطرائق الكلاسيكية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>.</w:t>
      </w:r>
    </w:p>
    <w:p>
      <w:pPr>
        <w:pStyle w:val="Compact"/>
        <w:numPr>
          <w:ilvl w:val="1"/>
          <w:numId w:val="224"/>
        </w:numPr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>
          <w:rtl w:val="true"/>
        </w:rPr>
        <w:t>مرجع أنماط إدخال السياق</w:t>
      </w:r>
      <w:r>
        <w:rPr>
          <w:rtl w:val="true"/>
        </w:rPr>
        <w:t>.</w:t>
      </w:r>
    </w:p>
    <w:p>
      <w:pPr>
        <w:pStyle w:val="Compact"/>
        <w:numPr>
          <w:ilvl w:val="1"/>
          <w:numId w:val="225"/>
        </w:numPr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 xml:space="preserve">] </w:t>
      </w:r>
      <w:r>
        <w:rPr>
          <w:rtl w:val="true"/>
        </w:rPr>
        <w:t xml:space="preserve">خلفية </w:t>
      </w:r>
      <w:r>
        <w:rPr/>
        <w:t>RQ4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.</w:t>
      </w:r>
    </w:p>
    <w:p>
      <w:pPr>
        <w:pStyle w:val="Compact"/>
        <w:numPr>
          <w:ilvl w:val="0"/>
          <w:numId w:val="22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مكمّلان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يؤخذ من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تعريف التفاعل السالب وسبب استبعاد </w:t>
      </w:r>
      <w:r>
        <w:rPr/>
        <w:t>CNN</w:t>
      </w:r>
      <w:r>
        <w:rPr>
          <w:rtl w:val="true"/>
        </w:rPr>
        <w:t xml:space="preserve">، ومن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 xml:space="preserve">معمارية </w:t>
      </w:r>
      <w:r>
        <w:rPr>
          <w:rtl w:val="true"/>
        </w:rPr>
        <w:t>«</w:t>
      </w:r>
      <w:r>
        <w:rPr>
          <w:rtl w:val="true"/>
        </w:rPr>
        <w:t>تحليل السلوك، ثم المطابقة، ثم التوصية، ثم التقييم</w:t>
      </w:r>
      <w:r>
        <w:rPr>
          <w:rtl w:val="true"/>
        </w:rPr>
        <w:t>».</w:t>
      </w:r>
      <w:bookmarkEnd w:id="87"/>
    </w:p>
    <w:p>
      <w:pPr>
        <w:pStyle w:val="Heading1"/>
        <w:bidi w:val="1"/>
        <w:rPr/>
      </w:pPr>
      <w:bookmarkStart w:id="97" w:name="__RefHeading___Toc15030_277087200"/>
      <w:bookmarkStart w:id="98" w:name="خلاصة-الفصل"/>
      <w:bookmarkEnd w:id="97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خلاصة الفصل</w:t>
      </w:r>
    </w:p>
    <w:p>
      <w:pPr>
        <w:pStyle w:val="Normal"/>
        <w:bidi w:val="1"/>
        <w:rPr/>
      </w:pPr>
      <w:r>
        <w:rPr>
          <w:rtl w:val="true"/>
        </w:rPr>
        <w:t xml:space="preserve">حلّل هذا الفصل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خمسة محاور، أُسند كل مرجع فيها إلى محور واحد بحسب إسهامه الرئيسي، وأضاف عيّنة محقَّقة من أدبيات </w:t>
      </w:r>
      <w:r>
        <w:rPr/>
        <w:t>OULAD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تتفق عليه الأدبيات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وفرة الإشارات الضمنية في منصات التعلم، وأهمية البدء البارد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لا تحسمه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تفوّق النماذج التسلسلية والهجينة المعقدة</w:t>
      </w:r>
      <w:r>
        <w:rPr>
          <w:rtl w:val="true"/>
        </w:rPr>
        <w:t xml:space="preserve">. </w:t>
      </w:r>
      <w:r>
        <w:rPr>
          <w:rtl w:val="true"/>
        </w:rPr>
        <w:t xml:space="preserve">فحيث قورنت بإنصاف كانت الطرائق البسيطة منافسة، ما عدا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حيث تفوّق النموذج المقترح وإن حقق التنقيح البسيط معظم مكسبه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جودة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التقارير الرقمية متفاوتة، والبروتوكولات متباينة إلى حدّ يمنع المقارنة المباشرة بين الأرقام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ضمن المجموعة المدروسة</w:t>
      </w:r>
      <w:r>
        <w:rPr>
          <w:rtl w:val="true"/>
        </w:rPr>
        <w:t xml:space="preserve"> يغيب اختبار استئصالي مضبوط لترجيح الإشارات السلوكية الضمنية مقابل الثنائية،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وخطوط أساس قوية</w:t>
      </w:r>
      <w:r>
        <w:rPr>
          <w:rtl w:val="true"/>
        </w:rPr>
        <w:t xml:space="preserve">. </w:t>
      </w:r>
      <w:r>
        <w:rPr>
          <w:rtl w:val="true"/>
        </w:rPr>
        <w:t>وترافقها فجوتان</w:t>
      </w:r>
      <w:r>
        <w:rPr>
          <w:rtl w:val="true"/>
        </w:rPr>
        <w:t xml:space="preserve">: </w:t>
      </w:r>
      <w:r>
        <w:rPr>
          <w:rtl w:val="true"/>
        </w:rPr>
        <w:t>غياب فصل الاكتشاف عن الإعادة أمام خط شعبية زمني، وعدم حسم المقارنة بين التسلسلي العصبوني وغير العصبوني</w:t>
      </w:r>
      <w:r>
        <w:rPr>
          <w:rtl w:val="true"/>
        </w:rPr>
        <w:t xml:space="preserve">. </w:t>
      </w:r>
      <w:r>
        <w:rPr>
          <w:rtl w:val="true"/>
        </w:rPr>
        <w:t>ولا تُدّعى جدّة في التنبؤ المبكر بالخطر</w:t>
      </w:r>
      <w:r>
        <w:rPr>
          <w:rtl w:val="true"/>
        </w:rPr>
        <w:t xml:space="preserve">. </w:t>
      </w:r>
      <w:r>
        <w:rPr>
          <w:rtl w:val="true"/>
        </w:rPr>
        <w:t xml:space="preserve">وترجيح الإشارة الضمنية نفسه فكرة قائمة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فالمساهمة المتوقعة تجريبية ومنهجية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نقطة الانطلاق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للبروتوكول، 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للتحذير البروتوكولي، 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لفكرة الترجيح،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لتعريف الإشارات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وتتحول الاستنتاجات الستة وفقرات الفجوة الأربع إلى فرضيات </w:t>
      </w:r>
      <w:r>
        <w:rPr/>
        <w:t>H1–H4</w:t>
      </w:r>
      <w:r>
        <w:rPr>
          <w:rtl w:val="true"/>
        </w:rPr>
        <w:t xml:space="preserve"> </w:t>
      </w:r>
      <w:r>
        <w:rPr>
          <w:rtl w:val="true"/>
        </w:rPr>
        <w:t xml:space="preserve">مرتبطة بـ </w:t>
      </w:r>
      <w:r>
        <w:rPr/>
        <w:t>RQ1–RQ4</w:t>
      </w:r>
      <w:r>
        <w:rPr>
          <w:rtl w:val="true"/>
        </w:rPr>
        <w:t xml:space="preserve"> </w:t>
      </w:r>
      <w:r>
        <w:rPr>
          <w:rtl w:val="true"/>
        </w:rPr>
        <w:t>في المرحلة التالية</w:t>
      </w:r>
      <w:r>
        <w:rPr>
          <w:rtl w:val="true"/>
        </w:rPr>
        <w:t>.</w:t>
      </w:r>
      <w:bookmarkEnd w:id="98"/>
    </w:p>
    <w:p>
      <w:pPr>
        <w:pStyle w:val="Heading1"/>
        <w:bidi w:val="1"/>
        <w:rPr/>
      </w:pPr>
      <w:bookmarkStart w:id="99" w:name="__RefHeading___Toc15032_277087200"/>
      <w:bookmarkStart w:id="100" w:name="قائمة-المراجع"/>
      <w:bookmarkEnd w:id="99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قائمة المراجع</w:t>
      </w:r>
    </w:p>
    <w:p>
      <w:pPr>
        <w:pStyle w:val="Normal"/>
        <w:bidi w:val="1"/>
        <w:rPr/>
      </w:pPr>
      <w:r>
        <w:rPr>
          <w:rtl w:val="true"/>
        </w:rPr>
        <w:t>المراجع مرتبة بالترقيم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>التنبيه بين معقوفتين يتبع كل بيان لم يُؤكَّد من نص الورقة</w:t>
      </w:r>
      <w:r>
        <w:rPr>
          <w:rtl w:val="true"/>
        </w:rPr>
        <w:t xml:space="preserve">. </w:t>
      </w:r>
      <w:r>
        <w:rPr>
          <w:rtl w:val="true"/>
        </w:rPr>
        <w:t xml:space="preserve">والقائمة نفسها محفوظة في الملف المستقل </w:t>
      </w:r>
      <w:r>
        <w:rPr>
          <w:rStyle w:val="VerbatimChar"/>
        </w:rPr>
        <w:t>docs/working/references-bibliography.md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1" w:name="__RefHeading___Toc15034_277087200"/>
      <w:bookmarkStart w:id="102" w:name="المراجع-المحللة-138"/>
      <w:bookmarkEnd w:id="101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المراجع المحللة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/>
        <w:t>C. Kumar, M. Kumar, and A. Jindal, “Session-based song recommendation using recurrent neural network,” conference paper, 2022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نص الورقة لا يذكر الوعاء ولا </w:t>
      </w:r>
      <w:r>
        <w:rPr/>
        <w:t>DOI</w:t>
      </w:r>
      <w:r>
        <w:rPr>
          <w:rtl w:val="true"/>
        </w:rPr>
        <w:t xml:space="preserve">. </w:t>
      </w:r>
      <w:r>
        <w:rPr>
          <w:rtl w:val="true"/>
        </w:rPr>
        <w:t xml:space="preserve">تذكر خطة البحث الأصلية أنه نُشر في </w:t>
      </w:r>
      <w:r>
        <w:rPr>
          <w:i/>
          <w:iCs/>
        </w:rPr>
        <w:t>Machine Intelligence Techniques for Data Analysis and Signal Processing</w:t>
      </w:r>
      <w:r>
        <w:rPr/>
        <w:t>, D. S. Sisodia, L. Garg, R. B. Pachori, and M. Tanveer, Eds., Lecture Notes in Electrical Engineering, vol. 997, Springer, Singapore, 2023, doi: 10.1007/978-981-99-0085-5_58</w:t>
      </w:r>
      <w:r>
        <w:rPr>
          <w:rtl w:val="true"/>
        </w:rPr>
        <w:t>، ولم تؤكّد ذلك البطاقات ولا بحث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/>
        <w:t xml:space="preserve">M. Gao, Y. Luo, and X. Hu, “Online course recommendation using deep convolutional neural network with negative sequence mining,” </w:t>
      </w:r>
      <w:r>
        <w:rPr>
          <w:i/>
          <w:iCs/>
        </w:rPr>
        <w:t>Wireless Communications and Mobile Computing</w:t>
      </w:r>
      <w:r>
        <w:rPr/>
        <w:t>, vol. 2022, Art. no. 9054149, 2022, doi: 10.1155/2022/9054149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/>
        <w:t xml:space="preserve">R. Sabitha, S. Vaishnavi, S. Karthik, and R. M. Bhavadharini, “User interaction based recommender system using machine learning,” </w:t>
      </w:r>
      <w:r>
        <w:rPr>
          <w:i/>
          <w:iCs/>
        </w:rPr>
        <w:t>Intelligent Automation &amp; Soft Computing</w:t>
      </w:r>
      <w:r>
        <w:rPr/>
        <w:t>, vol. 31, no. 2, pp. 1037–1049, 2022, doi: 10.32604/iasc.2022.018985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/>
        <w:t xml:space="preserve">Q. Huang, Y.-Y. Xu, Y. Chen, H.-R. Zhang, and F. Min, “An adaptive mechanism for recommendation algorithm ensemble,” </w:t>
      </w:r>
      <w:r>
        <w:rPr>
          <w:i/>
          <w:iCs/>
        </w:rPr>
        <w:t>IEEE Access</w:t>
      </w:r>
      <w:r>
        <w:rPr/>
        <w:t>, vol. 7, pp. 10331–10342, 2019, doi: 10.1109/ACCESS.2019.2891561</w:t>
      </w:r>
      <w:r>
        <w:rPr>
          <w:rtl w:val="true"/>
        </w:rPr>
        <w:t>. [</w:t>
      </w:r>
      <w:r>
        <w:rPr>
          <w:rtl w:val="true"/>
        </w:rPr>
        <w:t>المجلد والصفحات من خطة البحث الأصلية؛ النسخة المحفوظة مسودة مقبولة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</w:t>
      </w:r>
      <w:r>
        <w:rPr>
          <w:rtl w:val="true"/>
        </w:rPr>
        <w:t xml:space="preserve">] </w:t>
      </w:r>
      <w:r>
        <w:rPr/>
        <w:t xml:space="preserve">K. Chaudhary and N. Gupta, “E-learning recommender system for learners: A machine learning based approach,” </w:t>
      </w:r>
      <w:r>
        <w:rPr>
          <w:i/>
          <w:iCs/>
        </w:rPr>
        <w:t>International Journal of Mathematical, Engineering and Management Sciences</w:t>
      </w:r>
      <w:r>
        <w:rPr/>
        <w:t>, vol. 4, no. 4, pp. 957–967, 2019, doi: 10.33889/IJMEMS.2019.4.4-076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/>
        <w:t xml:space="preserve">K. Liang, Y. Zhang, Y. He, Y. Zhou, W. Tan, and X. Li, “Online behavior analysis-based student profile for intelligent e-learning,” </w:t>
      </w:r>
      <w:r>
        <w:rPr>
          <w:i/>
          <w:iCs/>
        </w:rPr>
        <w:t>Journal of Electrical and Computer Engineering</w:t>
      </w:r>
      <w:r>
        <w:rPr/>
        <w:t>, vol. 2017, Art. no. 9720396, 2017, doi: 10.1155/2017/9720396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/>
        <w:t xml:space="preserve">M. H. Ansari, M. Moradi, O. NikRah, and K. M. Kambakhsh, “CodERS: A hybrid recommender system for an e-learning system,” in </w:t>
      </w:r>
      <w:r>
        <w:rPr>
          <w:i/>
          <w:iCs/>
        </w:rPr>
        <w:t>Proc. 2nd Int. Conf. Signal Processing and Intelligent Systems (ICSPIS)</w:t>
      </w:r>
      <w:r>
        <w:rPr/>
        <w:t>, Tehran, Iran, 2016, pp. 1–5, doi: 10.1109/ICSPIS.2016.7869884</w:t>
      </w:r>
      <w:r>
        <w:rPr>
          <w:rtl w:val="true"/>
        </w:rPr>
        <w:t>. [</w:t>
      </w:r>
      <w:r>
        <w:rPr>
          <w:rtl w:val="true"/>
        </w:rPr>
        <w:t>الصفحات و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من خطة البحث الأصلية؛ غير مذكورين في نص الورقة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/>
        <w:t xml:space="preserve">H.-R. Zhang, F. Min, X. He, and Y.-Y. Xu, “A hybrid recommender system based on user-recommender interaction,” </w:t>
      </w:r>
      <w:r>
        <w:rPr>
          <w:i/>
          <w:iCs/>
        </w:rPr>
        <w:t>Mathematical Problems in Engineering</w:t>
      </w:r>
      <w:r>
        <w:rPr/>
        <w:t>, vol. 2015, Art. no. 145636, 2015, doi: 10.1155/2015/145636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/>
        <w:t xml:space="preserve">M. Degemmis, P. Lops, G. Semeraro, M. F. Costabile, O. Licchelli, and S. P. Guida, “A hybrid collaborative recommender system based on user profiles,” in </w:t>
      </w:r>
      <w:r>
        <w:rPr>
          <w:i/>
          <w:iCs/>
        </w:rPr>
        <w:t>Proc. 6th Int. Conf. Enterprise Information Systems (ICEIS)</w:t>
      </w:r>
      <w:r>
        <w:rPr/>
        <w:t>, 2004, pp. 162–169, doi: 10.5220/0002638201620169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/>
        <w:t xml:space="preserve">S. Amin, M. I. Uddin, W. K. Mashwani, A. A. Alarood, A. Alzahrani, and A. O. Alzahrani, “Developing a personalized e-learning and MOOC recommender system in IoT-enabled smart education,” </w:t>
      </w:r>
      <w:r>
        <w:rPr>
          <w:i/>
          <w:iCs/>
        </w:rPr>
        <w:t>IEEE Access</w:t>
      </w:r>
      <w:r>
        <w:rPr/>
        <w:t>, 2023, doi: 10.1109/ACCESS.2023.3336676</w:t>
      </w:r>
      <w:r>
        <w:rPr>
          <w:rtl w:val="true"/>
        </w:rPr>
        <w:t>. [</w:t>
      </w:r>
      <w:r>
        <w:rPr>
          <w:rtl w:val="true"/>
        </w:rPr>
        <w:t>المجلد والصفحات غير مذكورة في النسخة المحفوظة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/>
        <w:t xml:space="preserve">A. Chandna and V. Kumar, “Machine learning-based recommendation system for e-learning: A personalized approach using learner behavior analytics,” </w:t>
      </w:r>
      <w:r>
        <w:rPr>
          <w:i/>
          <w:iCs/>
        </w:rPr>
        <w:t>International Journal of Computer Information Systems and Industrial Management Applications</w:t>
      </w:r>
      <w:r>
        <w:rPr/>
        <w:t>, vol. 18, no. 21s, pp. 1045–1064, 2026, doi: 10.70917/ijcisim-2026-5377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لم يُتحقَّق من وجود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على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/>
        <w:t xml:space="preserve">M. M. Kshirsagar, U. H. Gawande, S. R. Jain, S. S. Chavhan, D. B. Bhoyar, P. P. Deshpande, S. S. Kurumbanshi, and V. G. Girhepunje, “A multi-model machine learning framework for personalised course recommendation with dynamic feedback,” </w:t>
      </w:r>
      <w:r>
        <w:rPr>
          <w:i/>
          <w:iCs/>
        </w:rPr>
        <w:t>African Journal of Applied Research</w:t>
      </w:r>
      <w:r>
        <w:rPr/>
        <w:t>, vol. 11, no. 5, pp. 326–339, 2025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المطبوع في الورقة غير مكتمل </w:t>
      </w:r>
      <w:r>
        <w:rPr>
          <w:rtl w:val="true"/>
        </w:rPr>
        <w:t>(</w:t>
      </w:r>
      <w:r>
        <w:rPr/>
        <w:t>10.26437</w:t>
      </w:r>
      <w:r>
        <w:rPr>
          <w:rtl w:val="true"/>
        </w:rPr>
        <w:t>/</w:t>
      </w:r>
      <w:r>
        <w:rPr/>
        <w:t>ajar.v11</w:t>
      </w:r>
      <w:r>
        <w:rPr>
          <w:rtl w:val="true"/>
        </w:rPr>
        <w:t>).]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/>
        <w:t xml:space="preserve">K. Errakha, A. Samih, S. Dfouf, and A. Marzouk, “A context-aware hybrid recommendation framework for e-learning platforms,” </w:t>
      </w:r>
      <w:r>
        <w:rPr>
          <w:i/>
          <w:iCs/>
        </w:rPr>
        <w:t>International Journal of Advanced Computer Science and Applications</w:t>
      </w:r>
      <w:r>
        <w:rPr/>
        <w:t>, vol. 17, no. 2, pp. 792–802, 2026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/>
        <w:t xml:space="preserve">S. Yang and D. Hao, “English learning behaviour analysis and intelligent recommendation system driven by big data,” </w:t>
      </w:r>
      <w:r>
        <w:rPr>
          <w:i/>
          <w:iCs/>
        </w:rPr>
        <w:t>International Journal of Continuing Engineering Education and Life-Long Learning</w:t>
      </w:r>
      <w:r>
        <w:rPr/>
        <w:t>, vol. 36, no. 9, pp. 214–239, 2026, doi: 10.1504/IJCEELL.2026.10077378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/>
        <w:t xml:space="preserve">H. Butmeh and A. Abu-Issa, “Hybrid attribute-based recommender system for personalized e-learning with emphasis on cold start problem,” </w:t>
      </w:r>
      <w:r>
        <w:rPr>
          <w:i/>
          <w:iCs/>
        </w:rPr>
        <w:t>Frontiers in Computer Science</w:t>
      </w:r>
      <w:r>
        <w:rPr/>
        <w:t>, vol. 6, Art. no. 1404391, 2024, doi: 10.3389/fcomp.2024.1404391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16</w:t>
      </w:r>
      <w:r>
        <w:rPr>
          <w:rtl w:val="true"/>
        </w:rPr>
        <w:t xml:space="preserve">] </w:t>
      </w:r>
      <w:r>
        <w:rPr/>
        <w:t xml:space="preserve">N. Joshi and R. Gupta, “A personalized web based e-learning recommendation system to enhance and user learning experience,” </w:t>
      </w:r>
      <w:r>
        <w:rPr>
          <w:i/>
          <w:iCs/>
        </w:rPr>
        <w:t>International Journal of Recent Technology and Engineering</w:t>
      </w:r>
      <w:r>
        <w:rPr/>
        <w:t>, vol. 9, no. 1, pp. 1186–1195, May 2020, doi: 10.35940/ijrte.F9991.059120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/>
        <w:t xml:space="preserve">R. Zriaa, S. Amali, and N. El Faddouli, “Trace learners clustering to improve learning object recommendation in online education platforms,” </w:t>
      </w:r>
      <w:r>
        <w:rPr>
          <w:i/>
          <w:iCs/>
        </w:rPr>
        <w:t>International Journal of Advanced Computer Science and Applications</w:t>
      </w:r>
      <w:r>
        <w:rPr/>
        <w:t>, vol. 13, no. 6, pp. 684–693, 2022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/>
        <w:t xml:space="preserve">A. da Silveira Dias and L. K. Wives, “Recommender system for learning objects based in the results of learner choices in e-learning systems: Application in the MERLOT platform,” in </w:t>
      </w:r>
      <w:r>
        <w:rPr>
          <w:i/>
          <w:iCs/>
        </w:rPr>
        <w:t>Anais do XXXI Simpósio Brasileiro de Informática na Educação (SBIE 2020), IX Congresso Brasileiro de Informática na Educação (CBIE 2020)</w:t>
      </w:r>
      <w:r>
        <w:rPr/>
        <w:t>, 2020, pp. 922–931, doi: 10.5753/cbie.sbie.2020.922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/>
        <w:t xml:space="preserve">S. Chavhan, U. Gawande, S. Jain, N. Mangrulkar, R. Dharmik, and D. Shahare, “Enhanced educational recommendations via feedback-refined learning-to-rank with XGBoost,” </w:t>
      </w:r>
      <w:r>
        <w:rPr>
          <w:i/>
          <w:iCs/>
        </w:rPr>
        <w:t>International Journal of Information Engineering and Electronic Business</w:t>
      </w:r>
      <w:r>
        <w:rPr/>
        <w:t>, vol. 18, no. 4, pp. 176–193, 2026, doi: 10.5815/ijieeb.2026.04.12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/>
        <w:t xml:space="preserve">S. P. Praveen, R. Nakka, M. Kamalrudin, S. Lalitha, J. R. Devi, and P. Muthukumar, “A hybrid explainable machine learning framework for adaptive recommendation in e-learning systems,” </w:t>
      </w:r>
      <w:r>
        <w:rPr>
          <w:i/>
          <w:iCs/>
        </w:rPr>
        <w:t>International Journal of Innovative Technology and Interdisciplinary Sciences</w:t>
      </w:r>
      <w:r>
        <w:rPr/>
        <w:t>, vol. 9, no. 2, pp. 1445–1495, 2026, doi: 10.15157/IJITIS.2026.9.2.1445-1495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/>
        <w:t xml:space="preserve">H. Li, S. Wu, R. Wang, W. Hu, and H. Li, “Modeling and application of implicit feedback in personalized recommender systems,” </w:t>
      </w:r>
      <w:r>
        <w:rPr>
          <w:i/>
          <w:iCs/>
        </w:rPr>
        <w:t>Electronic Research Archive</w:t>
      </w:r>
      <w:r>
        <w:rPr/>
        <w:t>, vol. 33, no. 2, pp. 1185–1206, 2025, doi: 10.3934/era.2025053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/>
        <w:t xml:space="preserve">H. Yuan, L. Liu, Y. Zhang, G. Wang, A. He, and F. Zhang, “Research on MOOCs course recommendation system based on hybrid attention mechanism in frequency and time domain,” </w:t>
      </w:r>
      <w:r>
        <w:rPr>
          <w:i/>
          <w:iCs/>
        </w:rPr>
        <w:t>PLOS ONE</w:t>
      </w:r>
      <w:r>
        <w:rPr/>
        <w:t>, vol. 20, no. 12, Art. no. e0338738, 2025, doi: 10.1371/journal.pone.0338738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/>
        <w:t xml:space="preserve">Z. Lu, S. J. Pan, Y. Li, J. Jiang, and Q. Yang, “Collaborative evolution for user profiling in recommender systems,” in </w:t>
      </w:r>
      <w:r>
        <w:rPr>
          <w:i/>
          <w:iCs/>
        </w:rPr>
        <w:t>Proc. 25th Int. Joint Conf. Artificial Intelligence (IJCAI-16)</w:t>
      </w:r>
      <w:r>
        <w:rPr/>
        <w:t>, 2016, pp. 3804–3810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/>
        <w:t xml:space="preserve">Y. Jia and Q. Zhao, “The learning behavior analysis of online vocational education students and learning resource recommendation based on big data,” </w:t>
      </w:r>
      <w:r>
        <w:rPr>
          <w:i/>
          <w:iCs/>
        </w:rPr>
        <w:t>International Journal of Emerging Technologies in Learning</w:t>
      </w:r>
      <w:r>
        <w:rPr/>
        <w:t>, vol. 17, no. 20, pp. 261–273, 2022, doi: 10.3991/ijet.v17i20.34521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/>
        <w:t xml:space="preserve">J. Talaghzi, M. Bellafkih, A. Bennane, M. M. Himmi, and M. Amraouy, “A combined e-learning course recommender system,” </w:t>
      </w:r>
      <w:r>
        <w:rPr>
          <w:i/>
          <w:iCs/>
        </w:rPr>
        <w:t>International Journal of Emerging Technologies in Learning</w:t>
      </w:r>
      <w:r>
        <w:rPr/>
        <w:t>, vol. 18, no. 6, pp. 53–70, 2023, doi: 10.3991/ijet.v18i06.36987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/>
        <w:t xml:space="preserve">C. Mediani, “Interactive hybrid recommendation of pedagogical resources,” </w:t>
      </w:r>
      <w:r>
        <w:rPr>
          <w:i/>
          <w:iCs/>
        </w:rPr>
        <w:t>Ingénierie des Systèmes d’Information</w:t>
      </w:r>
      <w:r>
        <w:rPr/>
        <w:t>, vol. 27, no. 5, pp. 695–704, Oct. 2022, doi: 10.18280/isi.270502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/>
        <w:t xml:space="preserve">S. M. Nafea, F. Siewe, and Y. He, “On recommendation of learning objects using Felder-Silverman learning style model,” </w:t>
      </w:r>
      <w:r>
        <w:rPr>
          <w:i/>
          <w:iCs/>
        </w:rPr>
        <w:t>IEEE Access</w:t>
      </w:r>
      <w:r>
        <w:rPr/>
        <w:t>, vol. 7, pp. 163034–163048, 2019, doi: 10.1109/ACCESS.2019.2935417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/>
        <w:t xml:space="preserve">H. Zhu, Y. Ni, F. Tian, P. Feng, Y. Chen, and Q. Zheng, “A group-oriented recommendation algorithm based on similarities of personal learning generative networks,” </w:t>
      </w:r>
      <w:r>
        <w:rPr>
          <w:i/>
          <w:iCs/>
        </w:rPr>
        <w:t>IEEE Access</w:t>
      </w:r>
      <w:r>
        <w:rPr/>
        <w:t>, vol. 6, pp. 42729–42739, 2018, doi: 10.1109/ACCESS.2018.2856753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/>
        <w:t xml:space="preserve">M. M. Rahman and N. A. Abdullah, “A personalized group-based recommendation approach for web search in e-learning,” </w:t>
      </w:r>
      <w:r>
        <w:rPr>
          <w:i/>
          <w:iCs/>
        </w:rPr>
        <w:t>IEEE Access</w:t>
      </w:r>
      <w:r>
        <w:rPr/>
        <w:t>, vol. 6, pp. 34166–34178, 2018, doi: 10.1109/ACCESS.2018.2850376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/>
        <w:t xml:space="preserve">S. Sergis and D. G. Sampson, “Learning object recommendations for teachers based on elicited ICT competence profiles,” </w:t>
      </w:r>
      <w:r>
        <w:rPr>
          <w:i/>
          <w:iCs/>
        </w:rPr>
        <w:t>IEEE Transactions on Learning Technologies</w:t>
      </w:r>
      <w:r>
        <w:rPr/>
        <w:t>, vol. 9, no. 1, pp. 67–80, Jan.–Mar. 2016, doi: 10.1109/TLT.2015.2434824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/>
        <w:t xml:space="preserve">J. Zhang, B. Hao, B. Chen, C. Li, H. Chen, and J. Sun, “Hierarchical reinforcement learning for course recommendation in MOOCs,” in </w:t>
      </w:r>
      <w:r>
        <w:rPr>
          <w:i/>
          <w:iCs/>
        </w:rPr>
        <w:t>Proc. 33rd AAAI Conf. Artificial Intelligence (AAAI-19)</w:t>
      </w:r>
      <w:r>
        <w:rPr/>
        <w:t>, 2019, pp. 435–442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/>
        <w:t xml:space="preserve">Y. Qi, Q. Wu, H. Wang, J. Tang, and M. Sun, “Bandit learning with implicit feedback,” in </w:t>
      </w:r>
      <w:r>
        <w:rPr>
          <w:i/>
          <w:iCs/>
        </w:rPr>
        <w:t>Proc. 32nd Conf. Neural Information Processing Systems (NeurIPS 2018)</w:t>
      </w:r>
      <w:r>
        <w:rPr/>
        <w:t>, Montréal, Canada,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33</w:t>
      </w:r>
      <w:r>
        <w:rPr>
          <w:rtl w:val="true"/>
        </w:rPr>
        <w:t xml:space="preserve">] </w:t>
      </w:r>
      <w:r>
        <w:rPr/>
        <w:t xml:space="preserve">T. Person, J. A. Caballero-Hernández, C. Romero, I. Ruiz-Rube, and J. M. Dodero, “Learning personalization in block-based programming languages using clustering and static code analysis,” </w:t>
      </w:r>
      <w:r>
        <w:rPr>
          <w:i/>
          <w:iCs/>
        </w:rPr>
        <w:t>Computers and Education Open</w:t>
      </w:r>
      <w:r>
        <w:rPr/>
        <w:t>, vol. 10, Art. no. 100333, 2026, doi: 10.1016/j.caeo.2026.100333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/>
        <w:t xml:space="preserve">S. M. Costa, R. Pinto, and G. Gonçalves, “Graph-based personalized recommendation in intelligent educational platforms: A case study in engineering education,” in </w:t>
      </w:r>
      <w:r>
        <w:rPr>
          <w:i/>
          <w:iCs/>
        </w:rPr>
        <w:t>Proc. 21st Int. Conf. Web Information Systems and Technologies (WEBIST 2025)</w:t>
      </w:r>
      <w:r>
        <w:rPr/>
        <w:t>, SCITEPRESS, 2025, pp. 439–446, doi: 10.5220/0013830200003985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/>
        <w:t xml:space="preserve">X. Wang and X. Liang, “HMSTNet: A deep learning multimodal approach for personalized English literature recommendations,” </w:t>
      </w:r>
      <w:r>
        <w:rPr>
          <w:i/>
          <w:iCs/>
        </w:rPr>
        <w:t>IEEE Access</w:t>
      </w:r>
      <w:r>
        <w:rPr/>
        <w:t>, vol. 13, pp. 74984–74998, 2025, doi: 10.1109/ACCESS.2025.3564677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36</w:t>
      </w:r>
      <w:r>
        <w:rPr>
          <w:rtl w:val="true"/>
        </w:rPr>
        <w:t xml:space="preserve">] </w:t>
      </w:r>
      <w:r>
        <w:rPr/>
        <w:t xml:space="preserve">L. Wang, “Cognitive and behavioral neurology approaches to personalized Japanese language learning path recommendations,” </w:t>
      </w:r>
      <w:r>
        <w:rPr>
          <w:i/>
          <w:iCs/>
        </w:rPr>
        <w:t>Frontiers in Psychology</w:t>
      </w:r>
      <w:r>
        <w:rPr/>
        <w:t>, vol. 17, Art. no. 1750189, 2026, doi: 10.3389/fpsyg.2026.1750189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/>
        <w:t xml:space="preserve">N. Ben Hadj Boubaker, Z. Kodia, and N. Yacoubi Ayadi, “Personalized e-learning knowledge graph-based recommender system using ensemble attention networks,” in </w:t>
      </w:r>
      <w:r>
        <w:rPr>
          <w:i/>
          <w:iCs/>
        </w:rPr>
        <w:t>Proc. 16th Int. Conf. Management of Digital EcoSystems (MEDES 2024)</w:t>
      </w:r>
      <w:r>
        <w:rPr/>
        <w:t>, Naples, Italy, Nov. 2024, Communications in Computer and Information Science (CCIS), vol. 2518, Springer, doi: 10.1007/978-3-031-93598-5_7</w:t>
      </w:r>
      <w:r>
        <w:rPr>
          <w:rtl w:val="true"/>
        </w:rPr>
        <w:t>. [</w:t>
      </w:r>
      <w:r>
        <w:rPr>
          <w:rtl w:val="true"/>
        </w:rPr>
        <w:t>رقم المجلد من تقرير المصداقية</w:t>
      </w:r>
      <w:r>
        <w:rPr>
          <w:rtl w:val="true"/>
        </w:rPr>
        <w:t>.] [</w:t>
      </w:r>
      <w:r>
        <w:rPr>
          <w:rtl w:val="true"/>
        </w:rPr>
        <w:t xml:space="preserve">النسخة المحفوظة نسخة </w:t>
      </w:r>
      <w:r>
        <w:rPr/>
        <w:t>HAL (hal-04892534)</w:t>
      </w:r>
      <w:r>
        <w:rPr>
          <w:rtl w:val="true"/>
        </w:rPr>
        <w:t>؛ أرقام الصفحات غير مذكورة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/>
        <w:t xml:space="preserve">L. K. Smirani and H. A. Yamani, “Enhancing personalized learning with deep learning in Saudi Arabian universities,” </w:t>
      </w:r>
      <w:r>
        <w:rPr>
          <w:i/>
          <w:iCs/>
        </w:rPr>
        <w:t>International Journal of Advanced and Applied Sciences</w:t>
      </w:r>
      <w:r>
        <w:rPr/>
        <w:t>, vol. 11, no. 7, pp. 166–175, 2024, doi: 10.21833/ijaas.2024.07.018</w:t>
      </w:r>
      <w:r>
        <w:rPr>
          <w:rtl w:val="true"/>
        </w:rPr>
        <w:t>.</w:t>
      </w:r>
      <w:bookmarkEnd w:id="102"/>
    </w:p>
    <w:p>
      <w:pPr>
        <w:pStyle w:val="Heading2"/>
        <w:bidi w:val="1"/>
        <w:rPr/>
      </w:pPr>
      <w:bookmarkStart w:id="103" w:name="__RefHeading___Toc15036_277087200"/>
      <w:bookmarkStart w:id="104" w:name="مراجع-من-خارج-المستودع-3951"/>
      <w:bookmarkEnd w:id="103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 xml:space="preserve">مراجع من خارج المستودع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51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 xml:space="preserve">ليست في المستودع، وقد تحقّق الباحث من بياناتها من فهارس الناشرين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 xml:space="preserve">أما ما لم يُؤكَّد من صفحات أو 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فحُذف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 </w:t>
      </w:r>
      <w:r>
        <w:rPr/>
        <w:t xml:space="preserve">Y. Hu, Y. Koren, and C. Volinsky, “Collaborative filtering for implicit feedback datasets,” in </w:t>
      </w:r>
      <w:r>
        <w:rPr>
          <w:i/>
          <w:iCs/>
        </w:rPr>
        <w:t>Proc. 8th IEEE Int. Conf. Data Mining (ICDM)</w:t>
      </w:r>
      <w:r>
        <w:rPr/>
        <w:t>, Pisa, Italy, 2008, pp. 263–272, doi: 10.1109/ICDM.2008.22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40</w:t>
      </w:r>
      <w:r>
        <w:rPr>
          <w:rtl w:val="true"/>
        </w:rPr>
        <w:t xml:space="preserve">] </w:t>
      </w:r>
      <w:r>
        <w:rPr/>
        <w:t xml:space="preserve">S. Rendle, C. Freudenthaler, Z. Gantner, and L. Schmidt-Thieme, “BPR: Bayesian personalized ranking from implicit feedback,” in </w:t>
      </w:r>
      <w:r>
        <w:rPr>
          <w:i/>
          <w:iCs/>
        </w:rPr>
        <w:t>Proc. 25th Conf. Uncertainty in Artificial Intelligence (UAI)</w:t>
      </w:r>
      <w:r>
        <w:rPr/>
        <w:t>, 2009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41</w:t>
      </w:r>
      <w:r>
        <w:rPr>
          <w:rtl w:val="true"/>
        </w:rPr>
        <w:t xml:space="preserve">] </w:t>
      </w:r>
      <w:r>
        <w:rPr/>
        <w:t xml:space="preserve">B. Hidasi, A. Karatzoglou, L. Baltrunas, and D. Tikk, “Session-based recommendations with recurrent neural networks,” in </w:t>
      </w:r>
      <w:r>
        <w:rPr>
          <w:i/>
          <w:iCs/>
        </w:rPr>
        <w:t>Proc. 4th Int. Conf. Learning Representations (ICLR)</w:t>
      </w:r>
      <w:r>
        <w:rPr/>
        <w:t>, San Juan, Puerto Rico, 2016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42</w:t>
      </w:r>
      <w:r>
        <w:rPr>
          <w:rtl w:val="true"/>
        </w:rPr>
        <w:t xml:space="preserve">] </w:t>
      </w:r>
      <w:r>
        <w:rPr/>
        <w:t xml:space="preserve">D. Jannach and M. Ludewig, “When recurrent neural networks meet the neighborhood for session-based recommendation,” in </w:t>
      </w:r>
      <w:r>
        <w:rPr>
          <w:i/>
          <w:iCs/>
        </w:rPr>
        <w:t>Proc. 11th ACM Conf. Recommender Systems (RecSys)</w:t>
      </w:r>
      <w:r>
        <w:rPr/>
        <w:t>, Como, Italy, 2017, pp. 306–310, doi: 10.1145/3109859.3109872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 </w:t>
      </w:r>
      <w:r>
        <w:rPr/>
        <w:t>M. Ludewig and D. Jannach, “Evaluation of session-based recommendation algorithms,” arXiv preprint arXiv:1803.09587,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 </w:t>
      </w:r>
      <w:r>
        <w:rPr/>
        <w:t xml:space="preserve">M. Ferrari Dacrema, P. Cremonesi, and D. Jannach, “Are we really making much progress? A worrying analysis of recent neural recommendation approaches,” in </w:t>
      </w:r>
      <w:r>
        <w:rPr>
          <w:i/>
          <w:iCs/>
        </w:rPr>
        <w:t>Proc. 13th ACM Conf. Recommender Systems (RecSys)</w:t>
      </w:r>
      <w:r>
        <w:rPr/>
        <w:t>, Copenhagen, Denmark, 2019, pp. 101–109, doi: 10.1145/3298689.3347058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45</w:t>
      </w:r>
      <w:r>
        <w:rPr>
          <w:rtl w:val="true"/>
        </w:rPr>
        <w:t xml:space="preserve">] </w:t>
      </w:r>
      <w:r>
        <w:rPr/>
        <w:t xml:space="preserve">K. Cho, B. van Merriënboer, C. Gulcehre, D. Bahdanau, F. Bougares, H. Schwenk, and Y. Bengio, “Learning phrase representations using RNN encoder–decoder for statistical machine translation,” in </w:t>
      </w:r>
      <w:r>
        <w:rPr>
          <w:i/>
          <w:iCs/>
        </w:rPr>
        <w:t>Proc. 2014 Conf. Empirical Methods in Natural Language Processing (EMNLP)</w:t>
      </w:r>
      <w:r>
        <w:rPr/>
        <w:t>, Doha, Qatar, 2014, pp. 1724–1734, doi: 10.3115/v1/D14-1179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/>
        <w:t xml:space="preserve">J. Kuzilek, M. Hlosta, and Z. Zdrahal, “Open University Learning Analytics dataset,” </w:t>
      </w:r>
      <w:r>
        <w:rPr>
          <w:i/>
          <w:iCs/>
        </w:rPr>
        <w:t>Sci. Data</w:t>
      </w:r>
      <w:r>
        <w:rPr/>
        <w:t>, vol. 4, Art. no. 170171, 2017, doi: 10.1038/sdata.2017.171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 </w:t>
      </w:r>
      <w:r>
        <w:rPr/>
        <w:t xml:space="preserve">W. Krichene and S. Rendle, “On sampled metrics for item recommendation,” in </w:t>
      </w:r>
      <w:r>
        <w:rPr>
          <w:i/>
          <w:iCs/>
        </w:rPr>
        <w:t>Proc. ACM SIGKDD Int. Conf. Knowledge Discovery and Data Mining (KDD)</w:t>
      </w:r>
      <w:r>
        <w:rPr/>
        <w:t>, 2020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48</w:t>
      </w:r>
      <w:r>
        <w:rPr>
          <w:rtl w:val="true"/>
        </w:rPr>
        <w:t xml:space="preserve">] </w:t>
      </w:r>
      <w:r>
        <w:rPr/>
        <w:t xml:space="preserve">G. Adomavicius and A. Tuzhilin, “Context-aware recommender systems,” in </w:t>
      </w:r>
      <w:r>
        <w:rPr>
          <w:i/>
          <w:iCs/>
        </w:rPr>
        <w:t>Recommender Systems Handbook</w:t>
      </w:r>
      <w:r>
        <w:rPr/>
        <w:t>. Boston, MA, USA: Springer, 2011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49</w:t>
      </w:r>
      <w:r>
        <w:rPr>
          <w:rtl w:val="true"/>
        </w:rPr>
        <w:t xml:space="preserve">] </w:t>
      </w:r>
      <w:r>
        <w:rPr/>
        <w:t xml:space="preserve">S.-U. Hassan, H. Waheed, N. R. Aljohani, M. Ali, S. Ventura, and F. Herrera, “Virtual learning environment to predict withdrawal by leveraging deep learning,” </w:t>
      </w:r>
      <w:r>
        <w:rPr>
          <w:i/>
          <w:iCs/>
        </w:rPr>
        <w:t>International Journal of Intelligent Systems</w:t>
      </w:r>
      <w:r>
        <w:rPr/>
        <w:t>, vol. 34, no. 8, pp. 1935–1952, 2019, doi: 10.1002/int.22129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50</w:t>
      </w:r>
      <w:r>
        <w:rPr>
          <w:rtl w:val="true"/>
        </w:rPr>
        <w:t xml:space="preserve">] </w:t>
      </w:r>
      <w:r>
        <w:rPr/>
        <w:t xml:space="preserve">H. Waheed, S.-U. Hassan, N. R. Aljohani, J. Hardman, and R. Nawaz, “Predicting academic performance of students from VLE big data using deep learning models,” </w:t>
      </w:r>
      <w:r>
        <w:rPr>
          <w:i/>
          <w:iCs/>
        </w:rPr>
        <w:t>Computers in Human Behavior</w:t>
      </w:r>
      <w:r>
        <w:rPr/>
        <w:t>, vol. 104, Art. no. 106189, 2020, doi: 10.1016/j.chb.2019.106189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51</w:t>
      </w:r>
      <w:r>
        <w:rPr>
          <w:rtl w:val="true"/>
        </w:rPr>
        <w:t xml:space="preserve">] </w:t>
      </w:r>
      <w:r>
        <w:rPr/>
        <w:t xml:space="preserve">N. I. Jha, I. Ghergulescu, and A.-N. Moldovan, “OULAD MOOC dropout and result prediction using ensemble, deep learning and regression techniques,” in </w:t>
      </w:r>
      <w:r>
        <w:rPr>
          <w:i/>
          <w:iCs/>
        </w:rPr>
        <w:t>Proc. 11th Int. Conf. Computer Supported Education (CSEDU)</w:t>
      </w:r>
      <w:r>
        <w:rPr/>
        <w:t>, SciTePress, 2019, pp. 154–164, doi: 10.5220/0007767901540164</w:t>
      </w:r>
      <w:r>
        <w:rPr>
          <w:rtl w:val="true"/>
        </w:rPr>
        <w:t>.</w:t>
      </w:r>
      <w:bookmarkEnd w:id="100"/>
      <w:bookmarkEnd w:id="104"/>
    </w:p>
    <w:p>
      <w:pPr>
        <w:pStyle w:val="Heading1"/>
        <w:bidi w:val="1"/>
        <w:rPr/>
      </w:pPr>
      <w:bookmarkStart w:id="105" w:name="__RefHeading___Toc15038_277087200"/>
      <w:bookmarkEnd w:id="105"/>
      <w:r>
        <w:rPr>
          <w:rtl w:val="true"/>
        </w:rPr>
        <w:t>ملحق أ</w:t>
      </w:r>
      <w:r>
        <w:rPr>
          <w:rtl w:val="true"/>
        </w:rPr>
        <w:t xml:space="preserve">: </w:t>
      </w:r>
      <w:r>
        <w:rPr>
          <w:rtl w:val="true"/>
        </w:rPr>
        <w:t>مصفوفة المقارنة الكاملة</w:t>
      </w:r>
    </w:p>
    <w:p>
      <w:pPr>
        <w:pStyle w:val="Normal"/>
        <w:bidi w:val="1"/>
        <w:rPr/>
      </w:pPr>
      <w:r>
        <w:rPr>
          <w:rtl w:val="true"/>
        </w:rPr>
        <w:t xml:space="preserve">قُسّمت المصفوفة الكاملة إلى ثلاثة جداول يربط بينها رقم المرجع، لكي تُقرأ في عرض صفحة </w:t>
      </w:r>
      <w:r>
        <w:rPr/>
        <w:t>A4</w:t>
      </w:r>
      <w:r>
        <w:rPr>
          <w:rtl w:val="true"/>
        </w:rPr>
        <w:t xml:space="preserve"> </w:t>
      </w:r>
      <w:r>
        <w:rPr>
          <w:rtl w:val="true"/>
        </w:rPr>
        <w:t>الطولية بستة أعمدة على الأكثر</w:t>
      </w:r>
      <w:r>
        <w:rPr>
          <w:rtl w:val="true"/>
        </w:rPr>
        <w:t>:</w:t>
      </w:r>
    </w:p>
    <w:p>
      <w:pPr>
        <w:pStyle w:val="Compact"/>
        <w:numPr>
          <w:ilvl w:val="0"/>
          <w:numId w:val="227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الهوية والبيانات والطريقة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8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الإشارات والمقاييس والنتيجة</w:t>
      </w:r>
      <w:r>
        <w:rPr>
          <w:rtl w:val="true"/>
        </w:rPr>
        <w:t>.</w:t>
      </w:r>
    </w:p>
    <w:p>
      <w:pPr>
        <w:pStyle w:val="Compact"/>
        <w:numPr>
          <w:ilvl w:val="0"/>
          <w:numId w:val="229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القيد والحكم والصلة والمحور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والأرقام فيها كما أوردها المؤلفون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الوعاء والمجال والبيانات وعائلة الطريقة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1231"/>
        <w:gridCol w:w="1318"/>
        <w:gridCol w:w="1230"/>
        <w:gridCol w:w="2198"/>
        <w:gridCol w:w="2021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الوعاء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عائلة الطريقة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مؤكد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LNEE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حسب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موسيقى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30Music: 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210,633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أغنية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بنمط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BPR-max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WCMC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تسلسل سالب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IASC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MovieLens: 943 × 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مجموعات فرعية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بالمكافأة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Slope One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IJMEMS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روابط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الحجم غير مذكور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JECE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سلوكي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جاكار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ICSPIS (IEEE)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برمجة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مفاهيمي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MPE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MovieLens-100K</w:t>
            </w:r>
            <w:r>
              <w:rPr>
                <w:kern w:val="0"/>
                <w:rtl w:val="true"/>
                <w:lang w:val="en-US" w:eastAsia="en-US" w:bidi="ar-SA"/>
              </w:rPr>
              <w:t>، مستخدم مُحاكى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عشوائي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ICEIS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منتجاً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 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</w:t>
            </w:r>
            <w:r>
              <w:rPr>
                <w:kern w:val="0"/>
                <w:lang w:val="en-US" w:eastAsia="en-US" w:bidi="ar-SA"/>
              </w:rPr>
              <w:t>PART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 </w:t>
            </w:r>
            <w:r>
              <w:rPr>
                <w:kern w:val="0"/>
                <w:lang w:val="en-US" w:eastAsia="en-US" w:bidi="ar-SA"/>
              </w:rPr>
              <w:t>Udemy (3,678)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(3,522)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وتعلم آلي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>، انحدار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IJCISIM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LMS/MOOC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عامة غير مسمّاة مع بيانات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حدّ سلوكي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AJAR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 بالزحف،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IJCEELL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Liulishuo: 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مستخدم، </w:t>
            </w: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اتحادي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TransR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Comput. Sci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مقرر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مادة،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مشاركاً، </w:t>
            </w: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تقييماً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بالسمات مع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IJRTE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بوابة تعلّم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مسمّاة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تعدين استخدام الويب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وخوارزمية جينية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ثانوي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تفضيل ضمني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SBIE/CBIE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غير رسمي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IJIEEB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تغذية راجعة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IJITIS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 (OULAD)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BBB-2013J: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و</w:t>
            </w:r>
            <w:r>
              <w:rPr>
                <w:kern w:val="0"/>
                <w:lang w:val="en-US" w:eastAsia="en-US" w:bidi="ar-SA"/>
              </w:rPr>
              <w:t>250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سجلاً اصطناعياً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SHAP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ERA (AIMS)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edX (289)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 متعدد الرؤوس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ML-100K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51buy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مليون مستخدم، </w:t>
            </w:r>
            <w:r>
              <w:rPr>
                <w:kern w:val="0"/>
                <w:lang w:val="en-US" w:eastAsia="en-US" w:bidi="ar-SA"/>
              </w:rPr>
              <w:t>180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</w:t>
            </w:r>
            <w:r>
              <w:rPr>
                <w:kern w:val="0"/>
                <w:lang w:val="en-US" w:eastAsia="en-US" w:bidi="ar-SA"/>
              </w:rPr>
              <w:t>VAR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 مهني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تسلسلي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تحليل </w:t>
            </w:r>
            <w:r>
              <w:rPr>
                <w:kern w:val="0"/>
                <w:lang w:val="en-US" w:eastAsia="en-US" w:bidi="ar-SA"/>
              </w:rPr>
              <w:t>Cox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(E-Dirassa)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 (Dice)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وملف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ISI (IIETA)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DeskDrop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(Moodle)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طالباً، مقرر واحد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FSLSM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(Java)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متعلماً؛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نقطة معرفة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وتوصية جماعية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وقواعد ضبابية و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مستودعات تعليمية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معلّمون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ODS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DtC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OSR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ملف ضبابي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AAAI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 (XuetangX)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مقرر، 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تسجيلاً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تعلّم معزّز هرمي مع </w:t>
            </w:r>
            <w:r>
              <w:rPr>
                <w:kern w:val="0"/>
                <w:lang w:val="en-US" w:eastAsia="en-US" w:bidi="ar-SA"/>
              </w:rPr>
              <w:t>NAIS/NASR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NeurIPS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أسئلة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محاكاة؛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Bandit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سياقي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Thompson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وتقريب تبايني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Comput. Educ. Open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برمجة مرئية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قواعد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معرفة هندسية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Neo4j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CBF/CF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وتراجع متدرج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محتوى عميق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Psychol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مجموعات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مع </w:t>
            </w:r>
            <w:r>
              <w:rPr>
                <w:kern w:val="0"/>
                <w:lang w:val="en-US" w:eastAsia="en-US" w:bidi="ar-SA"/>
              </w:rPr>
              <w:t>EEG/fMRI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وتبايني ومتعدد الوسائط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MEDES (CCIS)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Coursera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مقرراً، تفاعلات مصطنعة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معرفة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TransR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وانتباه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IJAAS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(Blackboard)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الإشارات والمقاييس وأفضل نتيجة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كما أوردها المؤلفون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52"/>
        <w:gridCol w:w="2678"/>
        <w:gridCol w:w="2427"/>
        <w:gridCol w:w="2930"/>
      </w:tblGrid>
      <w:tr>
        <w:trPr>
          <w:tblHeader w:val="true"/>
        </w:trPr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أفضل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استماع ضمني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P/R/MRR@5,10,20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RNN: P@5 = 0.095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MRR@5 = 0.223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شراء، تقييم، مراجعات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تغطية، زمن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TARS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 فقط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 = 0.9079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شيء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محتوى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RF = 98.98%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بمددها، امتحان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Acc = 99.7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72.0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قبول،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مذكورة بأرقام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تصفح ثنائي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استرجاع وتنوع تفاعليان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في الأشكال فقط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أفعال الصفحة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NDPM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CF: F1 = 0.923</w:t>
            </w:r>
            <w:r>
              <w:rPr>
                <w:kern w:val="0"/>
                <w:rtl w:val="true"/>
                <w:lang w:val="en-US" w:eastAsia="en-US" w:bidi="ar-SA"/>
              </w:rPr>
              <w:t>؛ الهجين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0.839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أسرع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مقرر مجمّع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P/R/MAP/NDCG@k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SVD: NDCG@20 = 0.8721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نقرات، مكوث، تنقل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نقرات، مكوث، إجابات، أخطاء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P/NDCG/Coverage@10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0.394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صريحة، 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، اختبار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خادم، تردد الصفحات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>، زمن، ذاكرة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89.4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Wilcoxon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 ‎&lt;‎ 0.05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بلا 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 (CF: 0.72)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Hit/MRR/NDCG@10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0.2018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0.2618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عدّاد تصفح يومي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الأشكال 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PMF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تسلسلات سلوك، مجموعات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 توصية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استشارة ثنائية مع ملف ثابت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 مع </w:t>
            </w:r>
            <w:r>
              <w:rPr>
                <w:kern w:val="0"/>
                <w:lang w:val="en-US" w:eastAsia="en-US" w:bidi="ar-SA"/>
              </w:rPr>
              <w:t>ILS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 (CBF: 1.52)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P/R/NDCG/MAP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موجودة في النص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زمن، درجات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سهولة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فائدة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تقييم، إشارة مرجعية، وصول، إنشاء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 بين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تسجيل، نسبة مشاهدة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HR/NDCG@5,10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HRL+NAIS: HR@10 = 0.7968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HRL+NASR: NDCG@10 = 0.5273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 على أسئلة مع الموضع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ندم، </w:t>
            </w: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زيادة 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8.9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سلوك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خصائص شيفرة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 = 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بعض السياقات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تقييمات، نوع مفضل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95.23%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إكمال، خطأ، انخراط، </w:t>
            </w:r>
            <w:r>
              <w:rPr>
                <w:kern w:val="0"/>
                <w:lang w:val="en-US" w:eastAsia="en-US" w:bidi="ar-SA"/>
              </w:rPr>
              <w:t>EEG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90.34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 = 90.11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اهتمام مصطنع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 = 0.045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انخراط، وصول، درجات، </w:t>
            </w:r>
            <w:r>
              <w:rPr>
                <w:kern w:val="0"/>
                <w:lang w:val="en-US" w:eastAsia="en-US" w:bidi="ar-SA"/>
              </w:rPr>
              <w:t>VARK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0.85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أهم قيد والحكم والصلة والمحور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الأساسي، ثم الثانوي بين قوسين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7"/>
        <w:gridCol w:w="3926"/>
        <w:gridCol w:w="853"/>
        <w:gridCol w:w="2218"/>
        <w:gridCol w:w="1024"/>
      </w:tblGrid>
      <w:tr>
        <w:trPr>
          <w:tblHeader w:val="true"/>
        </w:trPr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أهم قيد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الصلة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تفوّق في أي مقياس منشور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صغيرة؛ خطوط أساس من مجال آخر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عيّنة؛ لا أرقام دقة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>؛ بلا سلوك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الحجم غير مذكور؛ ليست توصية شخصية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توصية؛ عدم توازن فئات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مضبوط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سجلات متعلمين؛ صفوف مكررة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مجهولة واصطناعية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متوسطة–عالية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 واحد لكل متعلم؛ نموذج </w:t>
            </w:r>
            <w:r>
              <w:rPr>
                <w:kern w:val="0"/>
                <w:lang w:val="en-US" w:eastAsia="en-US" w:bidi="ar-SA"/>
              </w:rPr>
              <w:t>DL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موضوعاً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يتجاوز الحد النظري؛ بيانات خاصة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ج،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واحد؛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مسمّاة؛ تباين في الذاكرة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دائري محتمل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فكرياً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أرقام في النص؛ الاستخدام مستنتج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يتفوق على الشعبية؛ 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 جداً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صفوف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هامش ضئيل؛ أخطاء جدولية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 مقياس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متناقض؛ لا تقييم توصية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بلا تقييم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تعليمية؛ مقاييس غير متسقة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إشارة صريحة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أساس واحد؛ أرقام غير مستخرجة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أ، 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ضابطة؛ بلا مقاييس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معلّمون؛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الأشكال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سوالب؛ ملفات قصيرة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مهمة ليست توصية مقررات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يضم </w:t>
            </w:r>
            <w:r>
              <w:rPr>
                <w:kern w:val="0"/>
                <w:lang w:val="en-US" w:eastAsia="en-US" w:bidi="ar-SA"/>
              </w:rPr>
              <w:t>93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مشاركين؛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تحفظات داخلية؛ فقرات لا تخص المجال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ليست مُوصيات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ميزات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مصطنعة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وصف للنموذج؛ عيّنة متناقضة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06" w:name="ملحق-أ-مصفوفة-المقارنة-الكاملة"/>
            <w:bookmarkEnd w:id="106"/>
          </w:p>
        </w:tc>
      </w:tr>
    </w:tbl>
    <w:p>
      <w:pPr>
        <w:pStyle w:val="Heading1"/>
        <w:bidi w:val="1"/>
        <w:rPr/>
      </w:pPr>
      <w:bookmarkStart w:id="107" w:name="__RefHeading___Toc15040_277087200"/>
      <w:bookmarkEnd w:id="107"/>
      <w:r>
        <w:rPr>
          <w:rtl w:val="true"/>
        </w:rPr>
        <w:t>ملحق ب</w:t>
      </w:r>
      <w:r>
        <w:rPr>
          <w:rtl w:val="true"/>
        </w:rPr>
        <w:t xml:space="preserve">: </w:t>
      </w:r>
      <w:r>
        <w:rPr>
          <w:rtl w:val="true"/>
        </w:rPr>
        <w:t>جدول مصداقية المراجع</w:t>
      </w:r>
    </w:p>
    <w:p>
      <w:pPr>
        <w:pStyle w:val="Normal"/>
        <w:bidi w:val="1"/>
        <w:rPr/>
      </w:pPr>
      <w:r>
        <w:rPr>
          <w:rtl w:val="true"/>
        </w:rPr>
        <w:t xml:space="preserve">الحكم مأخوذ من تقرير المصداقية </w:t>
      </w:r>
      <w:r>
        <w:rPr>
          <w:rtl w:val="true"/>
        </w:rPr>
        <w:t>(</w:t>
      </w:r>
      <w:r>
        <w:rPr>
          <w:rStyle w:val="VerbatimChar"/>
        </w:rPr>
        <w:t>docs/working/research-credibility.md</w:t>
      </w:r>
      <w:r>
        <w:rPr>
          <w:rtl w:val="true"/>
        </w:rPr>
        <w:t>)</w:t>
      </w:r>
      <w:r>
        <w:rPr>
          <w:rtl w:val="true"/>
        </w:rPr>
        <w:t xml:space="preserve">، وقد بُني على نص الورقة وعلى بحث الويب دون الوصول المباشر إلى </w:t>
      </w:r>
      <w:r>
        <w:rPr/>
        <w:t>Scopus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Scimago</w:t>
      </w:r>
      <w:r>
        <w:rPr>
          <w:rtl w:val="true"/>
        </w:rPr>
        <w:t xml:space="preserve">. </w:t>
      </w:r>
      <w:r>
        <w:rPr>
          <w:rtl w:val="true"/>
        </w:rPr>
        <w:t>وحيث رصد المحللون ضعفاً داخلياً في ورقة من وعاء موثوق، أُضيف ذلك إلى السبب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ب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أحكام المصداقية وأسبابها المختصرة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المراجع </w:t>
      </w: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51</w:t>
      </w:r>
      <w:r>
        <w:rPr>
          <w:b/>
          <w:bCs/>
          <w:rtl w:val="true"/>
        </w:rPr>
        <w:t xml:space="preserve">]: </w:t>
      </w:r>
      <w:r>
        <w:rPr>
          <w:b/>
          <w:b/>
          <w:bCs/>
          <w:rtl w:val="true"/>
        </w:rPr>
        <w:t xml:space="preserve">سجل التحقق في </w:t>
      </w:r>
      <w:r>
        <w:rPr>
          <w:rStyle w:val="VerbatimChar"/>
          <w:b/>
          <w:bCs/>
        </w:rPr>
        <w:t>research-credibility.md</w:t>
      </w:r>
      <w:r>
        <w:rPr>
          <w:b/>
          <w:b/>
          <w:bCs/>
          <w:rtl w:val="true"/>
        </w:rPr>
        <w:t xml:space="preserve">، القسم </w:t>
      </w:r>
      <w:r>
        <w:rPr>
          <w:b/>
          <w:bCs/>
        </w:rPr>
        <w:t>4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2"/>
        <w:gridCol w:w="1566"/>
        <w:gridCol w:w="1131"/>
        <w:gridCol w:w="5308"/>
      </w:tblGrid>
      <w:tr>
        <w:trPr>
          <w:tblHeader w:val="true"/>
        </w:trPr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المختصر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بيانات تحكيم في النص؛ لم يُعثر على الورقة في البحث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بتواريخ كاملة؛ الوعاء حُذف من </w:t>
            </w:r>
            <w:r>
              <w:rPr>
                <w:kern w:val="0"/>
                <w:lang w:val="en-US" w:eastAsia="en-US" w:bidi="ar-SA"/>
              </w:rPr>
              <w:t>WoS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وأُغلق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النسخة المحفوظة مسودة مقبولة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الفهرسة 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محلي؛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المجلة مغلقة للتقديم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وحالة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ICEIS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قديم والفهرسة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البيانات كتالوجات وفيها صفوف مكررة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يُعثر على الورقة ولا على الـ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الويب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مكتمل؛ الوعاء غير موجود في أي مصدر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بفهرسة يصرّح بها الناشر؛ لا </w:t>
            </w:r>
            <w:r>
              <w:rPr>
                <w:kern w:val="0"/>
                <w:lang w:val="en-US" w:eastAsia="en-US" w:bidi="ar-SA"/>
              </w:rPr>
              <w:t>DOI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Inderscience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تباينات رقمية داخلية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ناشر له مجلة شقيقة أُزيلت من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>؛ 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تواريخ تحكيم 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وطني برازيلي؛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سليم دون فهرسة دولية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دليل على فهرسة الوعاء؛ 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 في النص؛ لا دليل على فهرسة الوعاء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AIMS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JCR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مُجمِّع؛ تناقضات رقمية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أخطاء جدولية طفيفة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IJCAI (CORE A*)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بقائمة </w:t>
            </w:r>
            <w:r>
              <w:rPr>
                <w:kern w:val="0"/>
                <w:lang w:val="en-US" w:eastAsia="en-US" w:bidi="ar-SA"/>
              </w:rPr>
              <w:t>SCImago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لكن لا تقييم توصية وجدول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>؛ ورقة تصميم بلا تقييم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IIETA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مقاييس غير متسقة داخلياً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Q1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تعليم حسب مُجمِّع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AAAI (CORE A*)</w:t>
            </w:r>
            <w:r>
              <w:rPr>
                <w:kern w:val="0"/>
                <w:rtl w:val="true"/>
                <w:lang w:val="en-US" w:eastAsia="en-US" w:bidi="ar-SA"/>
              </w:rPr>
              <w:t>؛ 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NeurIPS (CORE A*)</w:t>
            </w:r>
            <w:r>
              <w:rPr>
                <w:kern w:val="0"/>
                <w:rtl w:val="true"/>
                <w:lang w:val="en-US" w:eastAsia="en-US" w:bidi="ar-SA"/>
              </w:rPr>
              <w:t>؛ بيانات وشيفرة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Elsevier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 (SCITEPRESS)</w:t>
            </w:r>
            <w:r>
              <w:rPr>
                <w:kern w:val="0"/>
                <w:rtl w:val="true"/>
                <w:lang w:val="en-US" w:eastAsia="en-US" w:bidi="ar-SA"/>
              </w:rPr>
              <w:t>؛ 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لتباينات داخلية وفقرات لا تخص المجال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لتصميم تجريبي يثير الشك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Springer CCIS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نسخة </w:t>
            </w:r>
            <w:r>
              <w:rPr>
                <w:kern w:val="0"/>
                <w:lang w:val="en-US" w:eastAsia="en-US" w:bidi="ar-SA"/>
              </w:rPr>
              <w:t>HAL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وتفاعلات مصطنعة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فهرسة من سجل </w:t>
            </w:r>
            <w:r>
              <w:rPr>
                <w:kern w:val="0"/>
                <w:lang w:val="en-US" w:eastAsia="en-US" w:bidi="ar-SA"/>
              </w:rPr>
              <w:t>ISSN</w:t>
            </w:r>
            <w:r>
              <w:rPr>
                <w:kern w:val="0"/>
                <w:rtl w:val="true"/>
                <w:lang w:val="en-US" w:eastAsia="en-US" w:bidi="ar-SA"/>
              </w:rPr>
              <w:t>؛ اسم الوعاء ملتبس؛ عيّنة متناقضة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ICDM 2008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سجل المدقّق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Rendle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UAI 2009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</w:t>
            </w:r>
            <w:r>
              <w:rPr>
                <w:kern w:val="0"/>
                <w:lang w:val="en-US" w:eastAsia="en-US" w:bidi="ar-SA"/>
              </w:rPr>
              <w:t>PMLR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AUAI</w:t>
            </w:r>
            <w:r>
              <w:rPr>
                <w:kern w:val="0"/>
                <w:rtl w:val="true"/>
                <w:lang w:val="en-US" w:eastAsia="en-US" w:bidi="ar-SA"/>
              </w:rPr>
              <w:t>؛ الصفحات متعارضة فحُذفت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Hidasi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ICLR 2016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mlanthology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Jannach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2017</w:t>
            </w:r>
            <w:r>
              <w:rPr>
                <w:kern w:val="0"/>
                <w:rtl w:val="true"/>
                <w:lang w:val="en-US" w:eastAsia="en-US" w:bidi="ar-SA"/>
              </w:rPr>
              <w:t>؛ الصفحات و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Ludewig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نسخة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arXiv:1803.09587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مؤكَّد؛ النشر في مجلة لم يُؤكَّد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Ferrari Dacrema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RecSys 2019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ACL Anthology D14-1179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Kuzilek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Sci. Data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PMC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Krichene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صفحات ولا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KDD 2020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مؤكَّد من صفحة </w:t>
            </w:r>
            <w:r>
              <w:rPr>
                <w:kern w:val="0"/>
                <w:lang w:val="en-US" w:eastAsia="en-US" w:bidi="ar-SA"/>
              </w:rPr>
              <w:t>Google Research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Adomavicius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2011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Recommender Systems Handbook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Springer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صفحة الناشر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Hassan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البيانات البيبليوغرافية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مستودع جامعة غرناطة؛ الأرقام غير مؤكَّدة فلا تُنقل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Waheed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المخطوطة المقبولة في مستودع </w:t>
            </w:r>
            <w:r>
              <w:rPr>
                <w:kern w:val="0"/>
                <w:lang w:val="en-US" w:eastAsia="en-US" w:bidi="ar-SA"/>
              </w:rPr>
              <w:t>MMU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مؤكَّد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lang w:val="en-US" w:eastAsia="en-US" w:bidi="ar-SA"/>
              </w:rPr>
              <w:t>SciTePress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والصفحات مؤكَّدة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99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2"/>
    <w:lvlOverride w:ilvl="0">
      <w:startOverride w:val="1"/>
    </w:lvlOverride>
  </w:num>
  <w:num w:numId="50">
    <w:abstractNumId w:val="3"/>
  </w:num>
  <w:num w:numId="51">
    <w:abstractNumId w:val="3"/>
  </w:num>
  <w:num w:numId="52">
    <w:abstractNumId w:val="3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2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2"/>
    <w:lvlOverride w:ilvl="0">
      <w:startOverride w:val="1"/>
    </w:lvlOverride>
    <w:lvlOverride w:ilvl="1">
      <w:startOverride w:val="1"/>
    </w:lvlOverride>
  </w:num>
  <w:num w:numId="72">
    <w:abstractNumId w:val="2"/>
  </w:num>
  <w:num w:numId="73">
    <w:abstractNumId w:val="2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3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3"/>
  </w:num>
  <w:num w:numId="85">
    <w:abstractNumId w:val="3"/>
  </w:num>
  <w:num w:numId="86">
    <w:abstractNumId w:val="2"/>
    <w:lvlOverride w:ilvl="0">
      <w:startOverride w:val="1"/>
    </w:lvlOverride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3"/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3"/>
  </w:num>
  <w:num w:numId="123">
    <w:abstractNumId w:val="3"/>
  </w:num>
  <w:num w:numId="124">
    <w:abstractNumId w:val="3"/>
  </w:num>
  <w:num w:numId="125">
    <w:abstractNumId w:val="3"/>
  </w:num>
  <w:num w:numId="126">
    <w:abstractNumId w:val="2"/>
    <w:lvlOverride w:ilvl="0">
      <w:startOverride w:val="1"/>
    </w:lvlOverride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2"/>
  </w:num>
  <w:num w:numId="132">
    <w:abstractNumId w:val="2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3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3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2"/>
    <w:lvlOverride w:ilvl="0">
      <w:startOverride w:val="1"/>
    </w:lvlOverride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3"/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2"/>
    <w:lvlOverride w:ilvl="0">
      <w:startOverride w:val="1"/>
    </w:lvlOverride>
  </w:num>
  <w:num w:numId="170">
    <w:abstractNumId w:val="2"/>
  </w:num>
  <w:num w:numId="171">
    <w:abstractNumId w:val="2"/>
  </w:num>
  <w:num w:numId="172">
    <w:abstractNumId w:val="2"/>
  </w:num>
  <w:num w:numId="173">
    <w:abstractNumId w:val="2"/>
  </w:num>
  <w:num w:numId="174">
    <w:abstractNumId w:val="2"/>
  </w:num>
  <w:num w:numId="175">
    <w:abstractNumId w:val="2"/>
  </w:num>
  <w:num w:numId="176">
    <w:abstractNumId w:val="2"/>
  </w:num>
  <w:num w:numId="177">
    <w:abstractNumId w:val="2"/>
    <w:lvlOverride w:ilvl="0">
      <w:startOverride w:val="1"/>
    </w:lvlOverride>
  </w:num>
  <w:num w:numId="178">
    <w:abstractNumId w:val="2"/>
  </w:num>
  <w:num w:numId="179">
    <w:abstractNumId w:val="2"/>
  </w:num>
  <w:num w:numId="180">
    <w:abstractNumId w:val="2"/>
  </w:num>
  <w:num w:numId="181">
    <w:abstractNumId w:val="2"/>
    <w:lvlOverride w:ilvl="0">
      <w:startOverride w:val="1"/>
    </w:lvlOverride>
  </w:num>
  <w:num w:numId="182">
    <w:abstractNumId w:val="2"/>
  </w:num>
  <w:num w:numId="183">
    <w:abstractNumId w:val="3"/>
  </w:num>
  <w:num w:numId="184">
    <w:abstractNumId w:val="3"/>
  </w:num>
  <w:num w:numId="185">
    <w:abstractNumId w:val="3"/>
  </w:num>
  <w:num w:numId="186">
    <w:abstractNumId w:val="3"/>
  </w:num>
  <w:num w:numId="187">
    <w:abstractNumId w:val="2"/>
  </w:num>
  <w:num w:numId="188">
    <w:abstractNumId w:val="2"/>
  </w:num>
  <w:num w:numId="189">
    <w:abstractNumId w:val="3"/>
  </w:num>
  <w:num w:numId="190">
    <w:abstractNumId w:val="3"/>
  </w:num>
  <w:num w:numId="191">
    <w:abstractNumId w:val="3"/>
  </w:num>
  <w:num w:numId="192">
    <w:abstractNumId w:val="3"/>
  </w:num>
  <w:num w:numId="193">
    <w:abstractNumId w:val="2"/>
  </w:num>
  <w:num w:numId="194">
    <w:abstractNumId w:val="2"/>
  </w:num>
  <w:num w:numId="195">
    <w:abstractNumId w:val="2"/>
  </w:num>
  <w:num w:numId="196">
    <w:abstractNumId w:val="3"/>
  </w:num>
  <w:num w:numId="197">
    <w:abstractNumId w:val="3"/>
  </w:num>
  <w:num w:numId="198">
    <w:abstractNumId w:val="2"/>
    <w:lvlOverride w:ilvl="0">
      <w:startOverride w:val="1"/>
    </w:lvlOverride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3"/>
  </w:num>
  <w:num w:numId="204">
    <w:abstractNumId w:val="3"/>
  </w:num>
  <w:num w:numId="205">
    <w:abstractNumId w:val="3"/>
  </w:num>
  <w:num w:numId="206">
    <w:abstractNumId w:val="3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3"/>
  </w:num>
  <w:num w:numId="216">
    <w:abstractNumId w:val="3"/>
  </w:num>
  <w:num w:numId="217">
    <w:abstractNumId w:val="3"/>
  </w:num>
  <w:num w:numId="218">
    <w:abstractNumId w:val="3"/>
  </w:num>
  <w:num w:numId="219">
    <w:abstractNumId w:val="3"/>
  </w:num>
  <w:num w:numId="220">
    <w:abstractNumId w:val="3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3"/>
  </w:num>
  <w:num w:numId="226">
    <w:abstractNumId w:val="3"/>
  </w:num>
  <w:num w:numId="227">
    <w:abstractNumId w:val="3"/>
  </w:num>
  <w:num w:numId="228">
    <w:abstractNumId w:val="3"/>
  </w:num>
  <w:num w:numId="229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99</Pages>
  <Words>17004</Words>
  <Characters>84630</Characters>
  <CharactersWithSpaces>98921</CharactersWithSpaces>
  <Paragraphs>2387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2026-10-24T21:30:48Z</dcterms:created>
  <dc:creator>كنان محمد قرحالي</dc:creator>
  <dc:description/>
  <dc:language>ar-SY</dc:language>
  <cp:lastModifiedBy/>
  <dcterms:modified xsi:type="dcterms:W3CDTF">2026-10-24T21:30:53Z</dcterms:modified>
  <cp:revision>1</cp:revision>
  <dc:subject/>
  <dc:title>الدراسة المرجعية وحالة الفن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