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0545_3094992860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47_3094992860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49_3094992860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51_3094992860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53_3094992860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55_3094992860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57_3094992860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59_3094992860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1_3094992860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3_3094992860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5_3094992860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7_3094992860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9_3094992860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71_3094992860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3_3094992860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5_3094992860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577_3094992860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9_3094992860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1_3094992860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3_3094992860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5_3094992860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7_3094992860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9_3094992860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1_3094992860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3_3094992860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5_3094992860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7_3094992860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9_3094992860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601_3094992860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3_3094992860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05_3094992860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7_3094992860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9_3094992860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1_3094992860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3_3094992860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5_3094992860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7_3094992860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19_3094992860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1_3094992860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3_3094992860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5_3094992860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7_3094992860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9_3094992860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31_3094992860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33_3094992860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5_3094992860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7_3094992860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9_3094992860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1_3094992860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43_3094992860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5_3094992860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7_3094992860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9_3094992860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1_3094992860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653_3094992860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55_3094992860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7_3094992860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9_3094992860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1_3094992860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0545_3094992860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>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3.12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بقرار </w:t>
      </w:r>
      <w:r>
        <w:rPr/>
        <w:t>D-96</w:t>
      </w:r>
      <w:r>
        <w:rPr>
          <w:rtl w:val="true"/>
        </w:rPr>
        <w:t xml:space="preserve"> (</w:t>
      </w:r>
      <w:r>
        <w:rPr>
          <w:rtl w:val="true"/>
        </w:rPr>
        <w:t xml:space="preserve">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وتأجيل </w:t>
      </w:r>
      <w:r>
        <w:rPr/>
        <w:t>FR-40</w:t>
      </w:r>
      <w:r>
        <w:rPr>
          <w:rtl w:val="true"/>
        </w:rPr>
        <w:t xml:space="preserve">).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0547_3094992860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0549_3094992860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0551_3094992860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0553_3094992860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0555_3094992860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0557_3094992860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0559_3094992860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0561_3094992860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0563_3094992860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0565_3094992860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123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7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0567_3094992860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0569_3094992860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0571_3094992860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0573_3094992860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0575_3094992860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0577_3094992860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0579_3094992860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0581_3094992860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0583_3094992860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0585_3094992860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0587_3094992860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0589_3094992860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0591_3094992860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0593_3094992860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0595_3094992860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0597_3094992860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ويختبر </w:t>
      </w:r>
      <w:r>
        <w:rPr>
          <w:rStyle w:val="VerbatimChar"/>
        </w:rPr>
        <w:t>‎</w:t>
      </w:r>
      <w:r>
        <w:rPr>
          <w:rStyle w:val="VerbatimChar"/>
        </w:rPr>
        <w:t>test_fr40_gate‎</w:t>
      </w:r>
      <w:r>
        <w:rPr>
          <w:rtl w:val="true"/>
        </w:rPr>
        <w:t xml:space="preserve"> </w:t>
      </w:r>
      <w:r>
        <w:rPr>
          <w:rtl w:val="true"/>
        </w:rPr>
        <w:t xml:space="preserve">حالة الرفض </w:t>
      </w:r>
      <w:r>
        <w:rPr>
          <w:rtl w:val="true"/>
        </w:rPr>
        <w:t>(</w:t>
      </w:r>
      <w:r>
        <w:rPr>
          <w:rtl w:val="true"/>
        </w:rPr>
        <w:t xml:space="preserve">ويُتخطّى منذ وُجد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وهذه القدرة منفَّذة ومختبرة وغير مستعملة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المثيل الوحيد في الخدمة يُبنى في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 xml:space="preserve">دون المعامل، ولا مستدعٍ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(</w:t>
      </w:r>
      <w:r>
        <w:rPr>
          <w:rtl w:val="true"/>
        </w:rPr>
        <w:t xml:space="preserve">يمرّره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إلى محمِّلات </w:t>
      </w:r>
      <w:r>
        <w:rPr>
          <w:rStyle w:val="VerbatimChar"/>
        </w:rPr>
        <w:t>‎</w:t>
      </w:r>
      <w:r>
        <w:rPr>
          <w:rStyle w:val="VerbatimChar"/>
        </w:rPr>
        <w:t>data‎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</w:t>
      </w:r>
      <w:r>
        <w:rPr>
          <w:rtl w:val="true"/>
        </w:rPr>
        <w:t xml:space="preserve">، 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الوصول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(§4.4)</w:t>
      </w:r>
      <w:r>
        <w:rPr>
          <w:rtl w:val="true"/>
        </w:rPr>
        <w:t xml:space="preserve">. </w:t>
      </w:r>
      <w:r>
        <w:rPr>
          <w:rtl w:val="true"/>
        </w:rPr>
        <w:t xml:space="preserve">والشرط لا يقرأ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>، ولا يقرؤه أي كود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إلى عمل مستقبلي، 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لا تُخدَم في هذه النسخة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0599_3094992860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0601_3094992860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0603_3094992860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0605_3094992860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0607_3094992860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0609_3094992860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0611_3094992860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0613_3094992860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settings.py‎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والرفض دون شرط</w:t>
      </w:r>
      <w:r>
        <w:rPr>
          <w:rtl w:val="true"/>
        </w:rPr>
        <w:t xml:space="preserve">: </w:t>
      </w:r>
      <w:r>
        <w:rPr>
          <w:rtl w:val="true"/>
        </w:rPr>
        <w:t xml:space="preserve">لا يتغير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ui_open.json‎</w:t>
      </w:r>
      <w:r>
        <w:rPr>
          <w:rtl w:val="true"/>
        </w:rPr>
        <w:t xml:space="preserve">، لأن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</w:t>
      </w:r>
      <w:r>
        <w:rPr>
          <w:rtl w:val="true"/>
        </w:rPr>
        <w:t>(</w:t>
      </w:r>
      <w:r>
        <w:rPr/>
        <w:t>D-96</w:t>
      </w:r>
      <w:r>
        <w:rPr>
          <w:rtl w:val="true"/>
        </w:rPr>
        <w:t>).</w:t>
      </w:r>
      <w:bookmarkEnd w:id="65"/>
    </w:p>
    <w:p>
      <w:pPr>
        <w:pStyle w:val="Heading2"/>
        <w:bidi w:val="1"/>
        <w:rPr/>
      </w:pPr>
      <w:bookmarkStart w:id="66" w:name="__RefHeading___Toc10615_3094992860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>
          <w:rtl w:val="true"/>
        </w:rPr>
        <w:t xml:space="preserve">هدف </w:t>
      </w:r>
      <w:r>
        <w:rPr/>
        <w:t>NFR-01</w:t>
      </w:r>
      <w:r>
        <w:rPr>
          <w:rtl w:val="true"/>
        </w:rPr>
        <w:t>)</w:t>
      </w:r>
      <w:r>
        <w:rPr>
          <w:rtl w:val="true"/>
        </w:rPr>
        <w:t xml:space="preserve">، بينما 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>يفرض عتبة أوسع</w:t>
      </w:r>
      <w:r>
        <w:rPr>
          <w:rtl w:val="true"/>
        </w:rPr>
        <w:t xml:space="preserve">: </w:t>
      </w:r>
      <w:r>
        <w:rPr/>
        <w:t>‎&lt;‎ 300 ms</w:t>
      </w:r>
      <w:r>
        <w:rPr>
          <w:rtl w:val="true"/>
        </w:rPr>
        <w:t xml:space="preserve"> </w:t>
      </w:r>
      <w:r>
        <w:rPr>
          <w:rtl w:val="true"/>
        </w:rPr>
        <w:t>لكل مسار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10617_3094992860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0619_3094992860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0621_3094992860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0623_3094992860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0625_3094992860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0627_3094992860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0629_3094992860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0631_3094992860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0633_3094992860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0635_3094992860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‎20eeb98‎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الخلفية </w:t>
      </w:r>
      <w:r>
        <w:rPr>
          <w:b/>
          <w:bCs/>
        </w:rPr>
        <w:t>52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في تشغيل سابق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22.4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مخزَّنة؛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بدونها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0637_3094992860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123 tests in 6.569s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22.448s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0639_3094992860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0641_3094992860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0643_3094992860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0645_3094992860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0647_3094992860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منفَّذ، ولم يُشغَّل 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0649_3094992860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0651_3094992860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سجل الإذن لعروض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D-91</w:t>
      </w:r>
      <w:r>
        <w:rPr>
          <w:b/>
          <w:b/>
          <w:bCs/>
        </w:rPr>
        <w:t xml:space="preserve">، </w:t>
      </w:r>
      <w:r>
        <w:rPr>
          <w:b/>
          <w:bCs/>
        </w:rPr>
        <w:t>D-94(1)</w:t>
      </w:r>
      <w:r>
        <w:rPr>
          <w:b/>
          <w:b/>
          <w:bCs/>
        </w:rPr>
        <w:t xml:space="preserve">، 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كُتب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25T23:11:42Z</w:t>
      </w:r>
      <w:r>
        <w:rPr>
          <w:rtl w:val="true"/>
        </w:rPr>
        <w:t xml:space="preserve"> </w:t>
      </w:r>
      <w:r>
        <w:rPr>
          <w:rtl w:val="true"/>
        </w:rPr>
        <w:t xml:space="preserve">بعد تحقق الزميل المطابق </w:t>
      </w:r>
      <w:r>
        <w:rPr>
          <w:rtl w:val="true"/>
        </w:rPr>
        <w:t>(</w:t>
      </w:r>
      <w:r>
        <w:rPr>
          <w:rStyle w:val="VerbatimChar"/>
        </w:rPr>
        <w:t>‎docs/meetings/peer-verify-conf2014.md‎</w:t>
      </w:r>
      <w:r>
        <w:rPr>
          <w:rtl w:val="true"/>
        </w:rPr>
        <w:t>)</w:t>
      </w:r>
      <w:r>
        <w:rPr>
          <w:rtl w:val="true"/>
        </w:rPr>
        <w:t xml:space="preserve">، ويحوي بصمة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الكاملة </w:t>
      </w:r>
      <w:r>
        <w:rPr>
          <w:rtl w:val="true"/>
        </w:rPr>
        <w:t>(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 xml:space="preserve">) </w:t>
      </w:r>
      <w:r>
        <w:rPr>
          <w:rtl w:val="true"/>
        </w:rPr>
        <w:t xml:space="preserve">ووقت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والـ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 </w:t>
      </w:r>
      <w:r>
        <w:rPr>
          <w:rtl w:val="true"/>
        </w:rPr>
        <w:t xml:space="preserve">والإحالة إلى ملحق المحضر </w:t>
      </w:r>
      <w:r>
        <w:rPr/>
        <w:t>04</w:t>
      </w:r>
      <w:r>
        <w:rPr>
          <w:rtl w:val="true"/>
        </w:rPr>
        <w:t>، ولا رقم حكم فيه</w:t>
      </w:r>
      <w:r>
        <w:rPr>
          <w:rtl w:val="true"/>
        </w:rPr>
        <w:t xml:space="preserve">. </w:t>
      </w:r>
      <w:r>
        <w:rPr>
          <w:rtl w:val="true"/>
        </w:rPr>
        <w:t xml:space="preserve">الملف خارج </w:t>
      </w:r>
      <w:r>
        <w:rPr/>
        <w:t>LOCK</w:t>
      </w:r>
      <w:r>
        <w:rPr>
          <w:rtl w:val="true"/>
        </w:rPr>
        <w:t>، وأُعيد التحقق بعد كتابته فطابقت الملفات الـ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>المقفلة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والملف سجل إذن فقط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لا كود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>يقرؤه</w:t>
      </w:r>
      <w:r>
        <w:rPr>
          <w:rtl w:val="true"/>
        </w:rPr>
        <w:t xml:space="preserve">. </w:t>
      </w:r>
      <w:r>
        <w:rPr>
          <w:rtl w:val="true"/>
        </w:rPr>
        <w:t xml:space="preserve">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دون شرط</w:t>
      </w:r>
      <w:r>
        <w:rPr>
          <w:rtl w:val="true"/>
        </w:rPr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الخطأ لأي اسم من </w:t>
      </w:r>
      <w:r>
        <w:rPr>
          <w:rStyle w:val="VerbatimChar"/>
        </w:rPr>
        <w:t>‎</w:t>
      </w:r>
      <w:r>
        <w:rPr>
          <w:rStyle w:val="VerbatimChar"/>
        </w:rPr>
        <w:t>data.CONF_PRESENTATIONS‎</w:t>
      </w:r>
      <w:r>
        <w:rPr>
          <w:rtl w:val="true"/>
        </w:rPr>
        <w:t xml:space="preserve"> </w:t>
      </w:r>
      <w:r>
        <w:rPr>
          <w:rtl w:val="true"/>
        </w:rPr>
        <w:t>قبل أي قراءة، و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يدرج عرضاً مقفلاً واحداً للتمثيل </w:t>
      </w:r>
      <w:r>
        <w:rPr>
          <w:rtl w:val="true"/>
        </w:rPr>
        <w:t>(</w:t>
      </w:r>
      <w:r>
        <w:rPr>
          <w:rStyle w:val="VerbatimChar"/>
        </w:rPr>
        <w:t>‎LOCKED_LISTED‎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src/backend/settings.py‎</w:t>
      </w:r>
      <w:r>
        <w:rPr>
          <w:rtl w:val="true"/>
        </w:rPr>
        <w:t xml:space="preserve">) </w:t>
      </w:r>
      <w:r>
        <w:rPr>
          <w:rtl w:val="true"/>
        </w:rPr>
        <w:t xml:space="preserve">بتسمية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في الواجهة</w:t>
      </w:r>
      <w:r>
        <w:rPr>
          <w:rtl w:val="true"/>
        </w:rPr>
        <w:t xml:space="preserve">)». </w:t>
      </w:r>
      <w:r>
        <w:rPr>
          <w:rtl w:val="true"/>
        </w:rPr>
        <w:t xml:space="preserve">وقدرة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(</w:t>
      </w:r>
      <w:r>
        <w:rPr>
          <w:rtl w:val="true"/>
        </w:rPr>
        <w:t xml:space="preserve">بشرط 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LOCK</w:t>
      </w:r>
      <w:r>
        <w:rPr>
          <w:rtl w:val="true"/>
        </w:rPr>
        <w:t xml:space="preserve">) </w:t>
      </w:r>
      <w:r>
        <w:rPr>
          <w:rtl w:val="true"/>
        </w:rPr>
        <w:t xml:space="preserve">منفَّذة ومختبرة وغير مستعملة، فلا مستدعٍ يمرّرها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(§3.12)</w:t>
      </w:r>
      <w:r>
        <w:rPr>
          <w:rtl w:val="true"/>
        </w:rPr>
        <w:t xml:space="preserve">. </w:t>
      </w:r>
      <w:r>
        <w:rPr>
          <w:rtl w:val="true"/>
        </w:rPr>
        <w:t xml:space="preserve">وقرر المشرف 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وإعادة تصنيف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tl w:val="true"/>
        </w:rPr>
        <w:t>«</w:t>
      </w:r>
      <w:r>
        <w:rPr>
          <w:rtl w:val="true"/>
        </w:rPr>
        <w:t>مؤجَّل إلى عمل مستقبلي</w:t>
      </w:r>
      <w:r>
        <w:rPr>
          <w:rtl w:val="true"/>
        </w:rPr>
        <w:t>»</w:t>
      </w:r>
      <w:r>
        <w:rPr>
          <w:rtl w:val="true"/>
        </w:rPr>
        <w:t xml:space="preserve">، لأن الفتح لا يضيف دليلاً </w:t>
      </w:r>
      <w:r>
        <w:rPr>
          <w:rtl w:val="true"/>
        </w:rPr>
        <w:t>(</w:t>
      </w:r>
      <w:r>
        <w:rPr>
          <w:rtl w:val="true"/>
        </w:rPr>
        <w:t xml:space="preserve">الأرقام لا تؤخذ من الشاشات، </w:t>
      </w:r>
      <w:r>
        <w:rPr/>
        <w:t>D-67</w:t>
      </w:r>
      <w:r>
        <w:rPr>
          <w:rtl w:val="true"/>
        </w:rPr>
        <w:t>)</w:t>
      </w:r>
      <w:r>
        <w:rPr>
          <w:rtl w:val="true"/>
        </w:rPr>
        <w:t xml:space="preserve">، ولأنه يقتضي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كاملة في الخدمة وبناء عناقيدها ومخرجاتها بـ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>بعد التجميد</w:t>
      </w:r>
      <w:r>
        <w:rPr>
          <w:rtl w:val="true"/>
        </w:rPr>
        <w:t xml:space="preserve">. </w:t>
      </w:r>
      <w:r>
        <w:rPr>
          <w:rtl w:val="true"/>
        </w:rPr>
        <w:t xml:space="preserve">فنتائج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تُقرأ من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في هذه النسخة </w:t>
      </w:r>
      <w:r>
        <w:rPr>
          <w:rtl w:val="true"/>
        </w:rPr>
        <w:t>(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مؤجَّل، </w:t>
      </w:r>
      <w:r>
        <w:rPr/>
        <w:t>D-96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0653_3094992860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0655_3094992860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0657_3094992860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0659_3094992860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0661_3094992860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الأحكام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مؤجَّل إلى عمل مستقبلي،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منفَّذ وغير مستعمل؛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ui_open.json‎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إذن لا يقرؤه 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test_serving.test_fr40_gate‎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يُتخطّى منذ وُجد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77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77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77</Pages>
  <Words>13464</Words>
  <Characters>73965</Characters>
  <CharactersWithSpaces>84779</CharactersWithSpaces>
  <Paragraphs>1072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2026-10-25T23:21:38Z</dcterms:created>
  <dc:creator>كنان محمد قرحالي</dc:creator>
  <dc:description/>
  <dc:language>ar-SY</dc:language>
  <cp:lastModifiedBy/>
  <dcterms:modified xsi:type="dcterms:W3CDTF">2026-10-25T23:21:41Z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