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وADR-001 وADR-002 (مع قسمه 7) وADR-003 وADR-004،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w:t>
      </w:r>
      <w:r>
        <w:rPr>
          <w:rtl/>
        </w:rPr>
        <w:t xml:space="preserve"> </w:t>
      </w:r>
      <w:r>
        <w:rPr>
          <w:rtl/>
        </w:rPr>
        <w:t xml:space="preserve">بعد E2/E3 يُقدَّر σ لـ</w:t>
      </w:r>
      <m:oMath>
        <m:sSub>
          <m:e>
            <m:r>
              <m:t>Δ</m:t>
            </m:r>
          </m:e>
          <m:sub>
            <m:r>
              <m:t>p</m:t>
            </m:r>
          </m:sub>
        </m:sSub>
      </m:oMath>
      <w:r>
        <w:rPr>
          <w:rtl/>
        </w:rPr>
        <w:t xml:space="preserve"> </w:t>
      </w:r>
      <w:r>
        <w:rPr>
          <w:rtl/>
        </w:rPr>
        <w:t xml:space="preserve">على التطوير (H1 وH2-أ)، ويُحسب MDE80، أي أصغر μ يعطي احتمال تأكيد ≥ 0.8 بالمحاكاة نفسها،</w:t>
      </w:r>
      <w:r>
        <w:rPr>
          <w:rtl/>
        </w:rPr>
        <w:t xml:space="preserve"> </w:t>
      </w:r>
      <w:r>
        <w:rPr>
          <w:rtl/>
          <w:bCs/>
          <w:b/>
        </w:rPr>
        <w:t xml:space="preserve">ويُكتب هنا قبل التجميد</w:t>
      </w:r>
      <w:r>
        <w:rPr>
          <w:rtl/>
        </w:rPr>
        <w:t xml:space="preserve"> </w:t>
      </w:r>
      <w:r>
        <w:rPr>
          <w:rtl/>
        </w:rPr>
        <w:t xml:space="preserve">(الموعد 2026-11-13). وإن تجاوز 2δ يُكتب صراحة أن التصميم لا يكشف إلا آثاراً كبيرة، وأن «غير حاسمة» متوقعة. ولا يُعدَّل δ ولا القاعدة بناءً عليه.</w:t>
      </w:r>
    </w:p>
    <w:p>
      <w:pPr>
        <w:numPr>
          <w:ilvl w:val="1"/>
          <w:numId w:val="1007"/>
        </w:numPr>
        <w:pStyle w:val="Compact"/>
        <w:bidi w:val="1"/>
      </w:pPr>
      <w:r>
        <w:rPr>
          <w:rtl/>
        </w:rPr>
        <w:t xml:space="preserve">MDE80 لـH1:</w:t>
      </w:r>
      <w:r>
        <w:rPr>
          <w:rtl/>
        </w:rPr>
        <w:t xml:space="preserve"> </w:t>
      </w:r>
      <w:r>
        <w:rPr>
          <w:rtl/>
          <w:bCs/>
          <w:b/>
        </w:rPr>
        <w:t xml:space="preserve">[يُملأ بعد E2/E3]</w:t>
      </w:r>
      <w:r>
        <w:rPr>
          <w:rtl/>
        </w:rPr>
        <w:t xml:space="preserve">؛ MDE80 لـH2-أ:</w:t>
      </w:r>
      <w:r>
        <w:rPr>
          <w:rtl/>
        </w:rPr>
        <w:t xml:space="preserve"> </w:t>
      </w:r>
      <w:r>
        <w:rPr>
          <w:rtl/>
          <w:bCs/>
          <w:b/>
        </w:rPr>
        <w:t xml:space="preserve">[يُملأ بعد E2/E3]</w:t>
      </w:r>
      <w:r>
        <w:rPr>
          <w:rtl/>
        </w:rPr>
        <w:t xml:space="preserve">.</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w:t>
      </w:r>
      <w:r>
        <w:rPr>
          <w:rtl/>
        </w:rPr>
        <w:t xml:space="preserve">=</w:t>
      </w:r>
      <w:r>
        <w:rPr>
          <w:rtl/>
        </w:rPr>
        <w:t xml:space="preserve"> </w:t>
      </w:r>
      <m:oMath>
        <m:sSub>
          <m:e>
            <m:r>
              <m:t>M</m:t>
            </m:r>
          </m:e>
          <m:sub>
            <m:r>
              <m:t>1</m:t>
            </m:r>
          </m:sub>
        </m:sSub>
      </m:oMath>
      <w:r>
        <w:rPr>
          <w:rtl/>
        </w:rPr>
        <w:t xml:space="preserve"> </w:t>
      </w:r>
      <w:r>
        <w:rPr>
          <w:rtl/>
        </w:rPr>
        <w:t xml:space="preserve">+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ويُبلَّغ عدد من لهم أقل من 5 موارد وصفاً لكل زوج.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فاصل وp غير مصححة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في التدريب وهدف واحد على الأقل؛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 (ثنائية أو موزونة)،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أكبر من الانحراف المعياري عبر بذور التقرير الخمس.</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4"/>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4"/>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5"/>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5"/>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6"/>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6"/>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6"/>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6"/>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7"/>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7"/>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7"/>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7"/>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7"/>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7"/>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7"/>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7"/>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7"/>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7"/>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7"/>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7"/>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8"/>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8"/>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8"/>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8"/>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8"/>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8"/>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49"/>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9"/>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9"/>
        </w:numPr>
        <w:pStyle w:val="Compact"/>
        <w:bidi w:val="1"/>
      </w:pPr>
      <w:r>
        <w:rPr>
          <w:rtl/>
          <w:bCs/>
          <w:b/>
        </w:rPr>
        <w:t xml:space="preserve">اختيار k ∈ [2..8]</w:t>
      </w:r>
      <w:r>
        <w:rPr>
          <w:rtl/>
        </w:rPr>
        <w:t xml:space="preserve"> </w:t>
      </w:r>
      <w:r>
        <w:rPr>
          <w:rtl/>
        </w:rPr>
        <w:t xml:space="preserve">بثلاثة معايير معاً:</w:t>
      </w:r>
    </w:p>
    <w:p>
      <w:pPr>
        <w:numPr>
          <w:ilvl w:val="1"/>
          <w:numId w:val="1050"/>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0"/>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0"/>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0"/>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49"/>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49"/>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1"/>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1"/>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w:t>
      </w:r>
      <w:r>
        <w:rPr>
          <w:rtl/>
        </w:rPr>
        <w:t xml:space="preserve">=</w:t>
      </w:r>
      <w:r>
        <w:rPr>
          <w:rtl/>
        </w:rPr>
        <w:t xml:space="preserve"> </w:t>
      </w:r>
      <m:oMath>
        <m:sSub>
          <m:e>
            <m:r>
              <m:t>M</m:t>
            </m:r>
          </m:e>
          <m:sub>
            <m:r>
              <m:t>1</m:t>
            </m:r>
          </m:sub>
        </m:sSub>
      </m:oMath>
      <w:r>
        <w:rPr>
          <w:rtl/>
        </w:rPr>
        <w:t xml:space="preserve"> </w:t>
      </w:r>
      <w:r>
        <w:rPr>
          <w:rtl/>
        </w:rPr>
        <w:t xml:space="preserve">+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2"/>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2"/>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2"/>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3"/>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3"/>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3"/>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3"/>
        </w:numPr>
        <w:pStyle w:val="Compact"/>
        <w:bidi w:val="1"/>
      </w:pPr>
      <w:r>
        <w:rPr>
          <w:rtl/>
          <w:bCs/>
          <w:b/>
        </w:rPr>
        <w:t xml:space="preserve">المتعلمون المقيَّمون:</w:t>
      </w:r>
      <w:r>
        <w:rPr>
          <w:rtl/>
        </w:rPr>
        <w:t xml:space="preserve"> </w:t>
      </w:r>
      <w:r>
        <w:rPr>
          <w:rtl/>
        </w:rPr>
        <w:t xml:space="preserve">لهم هدف واحد على الأقل في الاختبار (للمهمة المعنية)، وتفاعل واحد على الأقل في التدريب. وتُذكر نسبة المقيَّمين من المسجلين النشطين لكل (عرض، أصل).</w:t>
      </w:r>
    </w:p>
    <w:p>
      <w:pPr>
        <w:numPr>
          <w:ilvl w:val="0"/>
          <w:numId w:val="1053"/>
        </w:numPr>
        <w:pStyle w:val="Compact"/>
        <w:bidi w:val="1"/>
      </w:pPr>
      <w:r>
        <w:rPr>
          <w:rtl/>
          <w:bCs/>
          <w:b/>
        </w:rPr>
        <w:t xml:space="preserve">شريحة «قليلي التاريخ» (H4-ب، استكشافية):</w:t>
      </w:r>
      <w:r>
        <w:rPr>
          <w:rtl/>
        </w:rPr>
        <w:t xml:space="preserve"> </w:t>
      </w:r>
      <w:r>
        <w:rPr>
          <w:rtl/>
        </w:rPr>
        <w:t xml:space="preserve">الربع الأدنى (Q1، والتعادل عند الحد يدخل) من عدد موارد الكتالوج المختلفة في التدريب بين المقيَّمين في كل (عرض، أصل، طور)؛ ويُبلَّغ عدد من لهم أقل من 5 موارد وصفاً لكل زوج (D-28).</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4"/>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4"/>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4"/>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5"/>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5"/>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5"/>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5"/>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5"/>
        </w:numPr>
        <w:pStyle w:val="Compact"/>
        <w:bidi w:val="1"/>
      </w:pPr>
      <w:r>
        <w:rPr>
          <w:rtl/>
          <w:bCs/>
          <w:b/>
        </w:rPr>
        <w:t xml:space="preserve">H4-ب استكشافية</w:t>
      </w:r>
      <w:r>
        <w:rPr>
          <w:rtl/>
        </w:rPr>
        <w:t xml:space="preserve"> </w:t>
      </w:r>
      <w:r>
        <w:rPr>
          <w:rtl/>
        </w:rPr>
        <w:t xml:space="preserve">خارج العائلة (D-28).</w:t>
      </w:r>
    </w:p>
    <w:p>
      <w:pPr>
        <w:numPr>
          <w:ilvl w:val="0"/>
          <w:numId w:val="1055"/>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6"/>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6"/>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6"/>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6"/>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p>
    <w:p>
      <w:pPr>
        <w:numPr>
          <w:ilvl w:val="0"/>
          <w:numId w:val="1056"/>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7"/>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7"/>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7"/>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7"/>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يُكتب في 2.2 قبل التجميد (D-25)</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تقدير σ وMDE80 وكتابته في §2.2 (D-25)</w:t>
            </w:r>
          </w:p>
        </w:tc>
        <w:tc>
          <w:tcPr/>
          <w:p>
            <w:pPr>
              <w:pStyle w:val="Compact"/>
              <w:bidi w:val="1"/>
              <w:jc w:val="left"/>
            </w:pPr>
            <w:r>
              <w:rPr>
                <w:rtl/>
              </w:rPr>
              <w:t xml:space="preserve">11-13</w:t>
            </w:r>
          </w:p>
        </w:tc>
        <w:tc>
          <w:tcPr/>
          <w:p>
            <w:pPr>
              <w:pStyle w:val="Compact"/>
              <w:bidi w:val="1"/>
              <w:jc w:val="left"/>
            </w:pPr>
            <w:r>
              <w:rPr>
                <w:rtl/>
              </w:rPr>
              <w:t xml:space="preserve">E2</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 وσ وMDE80</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تقدير تباين الفرق</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58"/>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8"/>
        </w:numPr>
        <w:pStyle w:val="Compact"/>
        <w:bidi w:val="1"/>
      </w:pPr>
      <w:r>
        <w:rPr>
          <w:rtl/>
          <w:bCs/>
          <w:b/>
        </w:rPr>
        <w:t xml:space="preserve">خطوط الأساس قبل المقترح:</w:t>
      </w:r>
      <w:r>
        <w:rPr>
          <w:rtl/>
        </w:rPr>
        <w:t xml:space="preserve"> </w:t>
      </w:r>
      <w:r>
        <w:rPr>
          <w:rtl/>
        </w:rPr>
        <w:t xml:space="preserve">E2، ثم تقدير σ وMDE80، ثم E3 وE4 بالتوازي.</w:t>
      </w:r>
    </w:p>
    <w:p>
      <w:pPr>
        <w:numPr>
          <w:ilvl w:val="0"/>
          <w:numId w:val="1058"/>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8"/>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58"/>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w:t>
      </w:r>
    </w:p>
    <w:p>
      <w:pPr>
        <w:numPr>
          <w:ilvl w:val="0"/>
          <w:numId w:val="1058"/>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59"/>
        </w:numPr>
        <w:pStyle w:val="Compact"/>
        <w:bidi w:val="1"/>
      </w:pPr>
      <w:r>
        <w:rPr>
          <w:rtl/>
        </w:rPr>
        <w:t xml:space="preserve">☐ مجموعة الاستبعاد E بالأنواع الخمسة مطبَّقة (نهائية؛ D-38).</w:t>
      </w:r>
    </w:p>
    <w:p>
      <w:pPr>
        <w:numPr>
          <w:ilvl w:val="0"/>
          <w:numId w:val="1059"/>
        </w:numPr>
        <w:pStyle w:val="Compact"/>
        <w:bidi w:val="1"/>
      </w:pPr>
      <w:r>
        <w:rPr>
          <w:rtl/>
        </w:rPr>
        <w:t xml:space="preserve">☐ δ = 0.02 وδ_AUC = 0.02 مثبتان (نهائيان؛ D-25، D-27).</w:t>
      </w:r>
    </w:p>
    <w:p>
      <w:pPr>
        <w:numPr>
          <w:ilvl w:val="0"/>
          <w:numId w:val="1059"/>
        </w:numPr>
        <w:pStyle w:val="Compact"/>
        <w:bidi w:val="1"/>
      </w:pPr>
      <w:r>
        <w:rPr>
          <w:rtl/>
        </w:rPr>
        <w:t xml:space="preserve">☐</w:t>
      </w:r>
      <w:r>
        <w:rPr>
          <w:rtl/>
        </w:rPr>
        <w:t xml:space="preserve"> </w:t>
      </w:r>
      <w:r>
        <w:rPr>
          <w:rtl/>
          <w:bCs/>
          <w:b/>
        </w:rPr>
        <w:t xml:space="preserve">MDE80 مكتوب</w:t>
      </w:r>
      <w:r>
        <w:rPr>
          <w:rtl/>
        </w:rPr>
        <w:t xml:space="preserve"> </w:t>
      </w:r>
      <w:r>
        <w:rPr>
          <w:rtl/>
        </w:rPr>
        <w:t xml:space="preserve">في §2.2 من تباين التطوير (D-25).</w:t>
      </w:r>
    </w:p>
    <w:p>
      <w:pPr>
        <w:numPr>
          <w:ilvl w:val="0"/>
          <w:numId w:val="1059"/>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59"/>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59"/>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59"/>
        </w:numPr>
        <w:pStyle w:val="Compact"/>
        <w:bidi w:val="1"/>
      </w:pPr>
      <w:r>
        <w:rPr>
          <w:rtl/>
        </w:rPr>
        <w:t xml:space="preserve">☐ حالة GRU-lite موثقة: اجتاز البوابات، أو «محاولة موثقة» مع H3 «غير قابلة للاختبار» وp = 1.</w:t>
      </w:r>
    </w:p>
    <w:p>
      <w:pPr>
        <w:numPr>
          <w:ilvl w:val="0"/>
          <w:numId w:val="1059"/>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59"/>
        </w:numPr>
        <w:pStyle w:val="Compact"/>
        <w:bidi w:val="1"/>
      </w:pPr>
      <w:r>
        <w:rPr>
          <w:rtl/>
        </w:rPr>
        <w:t xml:space="preserve">☐ عائلة Holm (m = 4)، وp ثنائية، وbootstrap-t على العروض: محسومة (D-23، D-24، D-25، D-31).</w:t>
      </w:r>
    </w:p>
    <w:p>
      <w:pPr>
        <w:numPr>
          <w:ilvl w:val="0"/>
          <w:numId w:val="1059"/>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59"/>
        </w:numPr>
        <w:pStyle w:val="Compact"/>
        <w:bidi w:val="1"/>
      </w:pPr>
      <w:r>
        <w:rPr>
          <w:rtl/>
        </w:rPr>
        <w:t xml:space="preserve">☐ أمر تشغيل واحد يعيد إنتاج نتائج التطوير من الصفر.</w:t>
      </w:r>
    </w:p>
    <w:p>
      <w:pPr>
        <w:numPr>
          <w:ilvl w:val="0"/>
          <w:numId w:val="1059"/>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bCs/>
          <w:b/>
        </w:rPr>
        <w:t xml:space="preserve">ما بقي مفتوحاً:</w:t>
      </w:r>
      <w:r>
        <w:rPr>
          <w:rtl/>
        </w:rPr>
        <w:t xml:space="preserve"> </w:t>
      </w:r>
      <w:r>
        <w:rPr>
          <w:rtl/>
        </w:rPr>
        <w:t xml:space="preserve">لا نقطة معلّقة تحتاج قراراً جديداً. وتبقى متابعات مجدولة سلفاً لا تغيّر أي عتبة أو قاعدة: كتابة MDE80 في §2.2 (11-13)، وتوثيق حالة الأرضية بعد E7أ (11-25)، وحالة GRU-lite بعد E5 (12-03)، وتحقق T5 من المراجع [39]–[57] قبل الاستشهاد بها في الرسالة (T17، 11-10).</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2026-10-24T20:55:15Z</dcterms:created>
  <dcterms:modified xsi:type="dcterms:W3CDTF">2026-10-24T20:55:15Z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