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742_3021144519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44_3021144519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6_3021144519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48_3021144519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0_3021144519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2_3021144519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4_3021144519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56_3021144519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58_3021144519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0_3021144519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2_3021144519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4_3021144519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66_3021144519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768_3021144519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0_3021144519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2_3021144519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774_3021144519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6_3021144519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78_3021144519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0_3021144519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2_3021144519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4_3021144519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6_3021144519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88_3021144519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0_3021144519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2_3021144519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4_3021144519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796_3021144519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798_3021144519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0_3021144519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02_3021144519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4_3021144519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6_3021144519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08_3021144519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0_3021144519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2_3021144519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4_3021144519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16_3021144519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18_3021144519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0_3021144519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2_3021144519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4_3021144519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26_3021144519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28_3021144519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30_3021144519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2_3021144519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4_3021144519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6_3021144519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38_3021144519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40_3021144519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2_3021144519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4_3021144519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6_3021144519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48_3021144519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850_3021144519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72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852_3021144519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4_3021144519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6_3021144519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858_3021144519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742_3021144519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>)</w:t>
      </w:r>
      <w:r>
        <w:rPr>
          <w:rtl w:val="true"/>
        </w:rPr>
        <w:t xml:space="preserve">، ثم حُدِّثت </w:t>
      </w:r>
      <w:r>
        <w:rPr>
          <w:rtl w:val="true"/>
        </w:rPr>
        <w:t>§</w:t>
      </w:r>
      <w:r>
        <w:rPr/>
        <w:t>3.12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tl w:val="true"/>
        </w:rPr>
        <w:t>§</w:t>
      </w:r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بقرار </w:t>
      </w:r>
      <w:r>
        <w:rPr/>
        <w:t>D-96</w:t>
      </w:r>
      <w:r>
        <w:rPr>
          <w:rtl w:val="true"/>
        </w:rPr>
        <w:t xml:space="preserve"> (</w:t>
      </w:r>
      <w:r>
        <w:rPr>
          <w:rtl w:val="true"/>
        </w:rPr>
        <w:t xml:space="preserve">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وتأجيل </w:t>
      </w:r>
      <w:r>
        <w:rPr/>
        <w:t>FR-40</w:t>
      </w:r>
      <w:r>
        <w:rPr>
          <w:rtl w:val="true"/>
        </w:rPr>
        <w:t>)</w:t>
      </w:r>
      <w:r>
        <w:rPr>
          <w:rtl w:val="true"/>
        </w:rPr>
        <w:t xml:space="preserve">، وجدول </w:t>
      </w:r>
      <w:r>
        <w:rPr>
          <w:rtl w:val="true"/>
        </w:rPr>
        <w:t>§</w:t>
      </w:r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 xml:space="preserve">بوقائع قفل </w:t>
      </w:r>
      <w:r>
        <w:rPr/>
        <w:t>E10</w:t>
      </w:r>
      <w:r>
        <w:rPr>
          <w:rtl w:val="true"/>
        </w:rPr>
        <w:t>، و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بحالة </w:t>
      </w:r>
      <w:r>
        <w:rPr/>
        <w:t>NFR-03 (D-102)</w:t>
      </w:r>
      <w:r>
        <w:rPr>
          <w:rtl w:val="true"/>
        </w:rPr>
        <w:t xml:space="preserve">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744_3021144519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746_3021144519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748_3021144519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750_3021144519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752_3021144519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754_3021144519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756_3021144519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758_3021144519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760_3021144519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762_3021144519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130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55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20</w:t>
      </w:r>
      <w:r>
        <w:rPr>
          <w:rStyle w:val="VerbatimChar"/>
          <w:rtl w:val="true"/>
        </w:rPr>
        <w:t>–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764_3021144519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766_3021144519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768_3021144519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770_3021144519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772_3021144519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774_3021144519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776_3021144519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778_3021144519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780_3021144519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782_3021144519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784_3021144519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786_3021144519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788_3021144519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790_3021144519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792_3021144519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794_3021144519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ويختبر </w:t>
      </w:r>
      <w:r>
        <w:rPr>
          <w:rStyle w:val="VerbatimChar"/>
        </w:rPr>
        <w:t>‎</w:t>
      </w:r>
      <w:r>
        <w:rPr>
          <w:rStyle w:val="VerbatimChar"/>
        </w:rPr>
        <w:t>test_fr40_gate‎</w:t>
      </w:r>
      <w:r>
        <w:rPr>
          <w:rtl w:val="true"/>
        </w:rPr>
        <w:t xml:space="preserve"> </w:t>
      </w:r>
      <w:r>
        <w:rPr>
          <w:rtl w:val="true"/>
        </w:rPr>
        <w:t xml:space="preserve">حالة الرفض </w:t>
      </w:r>
      <w:r>
        <w:rPr>
          <w:rtl w:val="true"/>
        </w:rPr>
        <w:t>(</w:t>
      </w:r>
      <w:r>
        <w:rPr>
          <w:rtl w:val="true"/>
        </w:rPr>
        <w:t xml:space="preserve">ويُتخطّى منذ وُجد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 xml:space="preserve">وهذه القدرة منفَّذة ومختبرة وغير مستعملة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المثيل الوحيد في الخدمة يُبنى في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</w:t>
      </w:r>
      <w:r>
        <w:rPr>
          <w:rtl w:val="true"/>
        </w:rPr>
        <w:t xml:space="preserve">دون المعامل، ولا مستدعٍ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 xml:space="preserve">يمرّر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(</w:t>
      </w:r>
      <w:r>
        <w:rPr>
          <w:rtl w:val="true"/>
        </w:rPr>
        <w:t xml:space="preserve">يمرّره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إلى محمِّلات </w:t>
      </w:r>
      <w:r>
        <w:rPr>
          <w:rStyle w:val="VerbatimChar"/>
        </w:rPr>
        <w:t>‎</w:t>
      </w:r>
      <w:r>
        <w:rPr>
          <w:rStyle w:val="VerbatimChar"/>
        </w:rPr>
        <w:t>data‎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</w:t>
      </w:r>
      <w:r>
        <w:rPr>
          <w:rtl w:val="true"/>
        </w:rPr>
        <w:t xml:space="preserve">، 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الوصول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(§4.4)</w:t>
      </w:r>
      <w:r>
        <w:rPr>
          <w:rtl w:val="true"/>
        </w:rPr>
        <w:t xml:space="preserve">. </w:t>
      </w:r>
      <w:r>
        <w:rPr>
          <w:rtl w:val="true"/>
        </w:rPr>
        <w:t xml:space="preserve">والشرط لا يقرأ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>، ولا يقرؤه أي كود</w:t>
      </w:r>
      <w:r>
        <w:rPr>
          <w:rtl w:val="true"/>
        </w:rPr>
        <w:t xml:space="preserve">. </w:t>
      </w:r>
      <w:r>
        <w:rPr>
          <w:rtl w:val="true"/>
        </w:rPr>
        <w:t>فـ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إلى عمل مستقبلي، 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لا تُخدَم في هذه النسخة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796_3021144519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798_3021144519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800_3021144519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802_3021144519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804_3021144519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806_3021144519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idle=1‎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وصول منذ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أو لا وصول قط، على الفوج كله قبل الفرز والتقسيم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808_3021144519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810_3021144519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settings.py‎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والرفض دون شرط</w:t>
      </w:r>
      <w:r>
        <w:rPr>
          <w:rtl w:val="true"/>
        </w:rPr>
        <w:t xml:space="preserve">: </w:t>
      </w:r>
      <w:r>
        <w:rPr>
          <w:rtl w:val="true"/>
        </w:rPr>
        <w:t xml:space="preserve">لا يتغير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ui_open.json‎</w:t>
      </w:r>
      <w:r>
        <w:rPr>
          <w:rtl w:val="true"/>
        </w:rPr>
        <w:t xml:space="preserve">، لأن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 </w:t>
      </w:r>
      <w:r>
        <w:rPr>
          <w:rtl w:val="true"/>
        </w:rPr>
        <w:t>(</w:t>
      </w:r>
      <w:r>
        <w:rPr/>
        <w:t>D-96</w:t>
      </w:r>
      <w:r>
        <w:rPr>
          <w:rtl w:val="true"/>
        </w:rPr>
        <w:t>).</w:t>
      </w:r>
      <w:bookmarkEnd w:id="65"/>
    </w:p>
    <w:p>
      <w:pPr>
        <w:pStyle w:val="Heading2"/>
        <w:bidi w:val="1"/>
        <w:rPr/>
      </w:pPr>
      <w:bookmarkStart w:id="66" w:name="__RefHeading___Toc10812_3021144519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814_3021144519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816_3021144519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818_3021144519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820_3021144519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822_3021144519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824_3021144519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826_3021144519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828_3021144519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conf2014_provenance.py‎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scripts/conf2014_provenance.py‎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 المصدر الموحّد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D-97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تستعمله الأطروحة أو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يطابق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نفسه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وملفات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بإيداع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86c0885‎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‎git show‎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deliverables/06-final-thesis/conf2014_provenance.json‎</w:t>
            </w:r>
            <w:r>
              <w:rPr>
                <w:kern w:val="0"/>
                <w:rtl w:val="true"/>
                <w:lang w:val="en-US" w:eastAsia="en-US" w:bidi="ar-SA"/>
              </w:rPr>
              <w:t>، ويرفض عند أي اختلاف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derive_conf2014_figures.py‎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scripts/derive_conf2014_figures.py‎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نسخ عرض مشتقة للأشكال السبعة المقفلة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D-95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المقفلة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وحدها، بلا إعادة حساب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يرسم إلا بعد نجاح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سكربت المصدر، ويكتب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deliverables/06-final-thesis/figures/derived/‎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‎‎</w:t>
            </w:r>
            <w:r>
              <w:rPr>
                <w:rStyle w:val="VerbatimChar"/>
                <w:kern w:val="0"/>
                <w:lang w:val="en-US" w:eastAsia="en-US" w:bidi="ar-SA"/>
              </w:rPr>
              <w:t>&lt;‎fig‎&gt;‎_plotted.csv‎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manifest.json‎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thesis/‎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انظر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scripts/thesis/README.md‎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توليد الأجزاء الآلية من الأطروحة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D-107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وكلها تقرأ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قراءة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‎eda_figures.py‎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شكلا الفصل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وحدها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make_tables.py‎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جداول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بفحوص متقاطعة توقف التشغيل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assemble.py‎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يدرج الجداول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ويكتب الملحق 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build_ch6.py‎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نصه المسجل عند الوسم، والخيار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--verify-tag‎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renumber.py‎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إعادة ترقيم المراجع بترتيب الظهور وفحص ترقيم الأشكال والجداول؛ تشغيل جاف ثم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--apply‎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بدوال مشتركة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refmap.py‎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ترتيب التشغيل لأجزاء الأطروحة الآلية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من جذر المستودع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‎conf2014_provenance.py‎</w:t>
      </w:r>
      <w:r>
        <w:rPr/>
        <w:t xml:space="preserve"> ← </w:t>
      </w:r>
      <w:r>
        <w:rPr>
          <w:rStyle w:val="VerbatimChar"/>
        </w:rPr>
        <w:t>‎derive_conf2014_figures.py‎</w:t>
      </w:r>
      <w:r>
        <w:rPr/>
        <w:t xml:space="preserve"> ← </w:t>
      </w:r>
      <w:r>
        <w:rPr>
          <w:rStyle w:val="VerbatimChar"/>
        </w:rPr>
        <w:t>‎thesis/eda_figures.py‎</w:t>
      </w:r>
      <w:r>
        <w:rPr/>
        <w:t xml:space="preserve"> ← </w:t>
      </w:r>
      <w:r>
        <w:rPr>
          <w:rStyle w:val="VerbatimChar"/>
        </w:rPr>
        <w:t>‎thesis/make_tables.py‎</w:t>
      </w:r>
      <w:r>
        <w:rPr/>
        <w:t xml:space="preserve"> ← </w:t>
      </w:r>
      <w:r>
        <w:rPr>
          <w:rStyle w:val="VerbatimChar"/>
        </w:rPr>
        <w:t>‎thesis/assemble.py‎</w:t>
      </w:r>
      <w:r>
        <w:rPr/>
        <w:t xml:space="preserve"> ← </w:t>
      </w:r>
      <w:r>
        <w:rPr>
          <w:rStyle w:val="VerbatimChar"/>
        </w:rPr>
        <w:t>‎thesis/build_ch6.py‎</w:t>
      </w:r>
      <w:r>
        <w:rPr>
          <w:rtl w:val="true"/>
        </w:rPr>
        <w:t xml:space="preserve">. </w:t>
      </w:r>
      <w:r>
        <w:rPr>
          <w:rtl w:val="true"/>
        </w:rPr>
        <w:t>وبعد اكتمال سجل التحقق من المراجع وحده</w:t>
      </w:r>
      <w:r>
        <w:rPr>
          <w:rtl w:val="true"/>
        </w:rPr>
        <w:t xml:space="preserve">: </w:t>
      </w:r>
      <w:r>
        <w:rPr>
          <w:rStyle w:val="VerbatimChar"/>
        </w:rPr>
        <w:t>‎thesis/renumber.py‎</w:t>
      </w:r>
      <w:r>
        <w:rPr>
          <w:rtl w:val="true"/>
        </w:rPr>
        <w:t xml:space="preserve"> (</w:t>
      </w:r>
      <w:r>
        <w:rPr>
          <w:rtl w:val="true"/>
        </w:rPr>
        <w:t>جاف</w:t>
      </w:r>
      <w:r>
        <w:rPr>
          <w:rtl w:val="true"/>
        </w:rPr>
        <w:t xml:space="preserve">) ← </w:t>
      </w:r>
      <w:r>
        <w:rPr>
          <w:rStyle w:val="VerbatimChar"/>
        </w:rPr>
        <w:t>‎renumber.py --apply‎</w:t>
      </w:r>
      <w:r>
        <w:rPr>
          <w:rtl w:val="true"/>
        </w:rPr>
        <w:t xml:space="preserve"> ← </w:t>
      </w:r>
      <w:r>
        <w:rPr>
          <w:rtl w:val="true"/>
        </w:rPr>
        <w:t xml:space="preserve">إعادة </w:t>
      </w:r>
      <w:r>
        <w:rPr>
          <w:rStyle w:val="VerbatimChar"/>
        </w:rPr>
        <w:t>‎</w:t>
      </w:r>
      <w:r>
        <w:rPr>
          <w:rStyle w:val="VerbatimChar"/>
        </w:rPr>
        <w:t>make_tables‎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assemble‎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build_ch6‎</w:t>
      </w:r>
      <w:r>
        <w:rPr>
          <w:rtl w:val="true"/>
        </w:rPr>
        <w:t xml:space="preserve">، ويجب ألا تغيّر شيئاً </w:t>
      </w:r>
      <w:r>
        <w:rPr>
          <w:rtl w:val="true"/>
        </w:rPr>
        <w:t>(</w:t>
      </w:r>
      <w:r>
        <w:rPr>
          <w:rStyle w:val="VerbatimChar"/>
        </w:rPr>
        <w:t>‎git diff‎</w:t>
      </w:r>
      <w:r>
        <w:rPr>
          <w:rtl w:val="true"/>
        </w:rPr>
        <w:t xml:space="preserve">). </w:t>
      </w:r>
      <w:r>
        <w:rPr>
          <w:rtl w:val="true"/>
        </w:rPr>
        <w:t xml:space="preserve">ومعيار القبول في </w:t>
      </w:r>
      <w:r>
        <w:rPr>
          <w:rStyle w:val="VerbatimChar"/>
        </w:rPr>
        <w:t>‎</w:t>
      </w:r>
      <w:r>
        <w:rPr>
          <w:rStyle w:val="VerbatimChar"/>
        </w:rPr>
        <w:t>scripts/thesis/README.md‎</w:t>
      </w:r>
      <w:r>
        <w:rPr>
          <w:rtl w:val="true"/>
        </w:rPr>
        <w:t xml:space="preserve">: </w:t>
      </w:r>
      <w:r>
        <w:rPr>
          <w:rtl w:val="true"/>
        </w:rPr>
        <w:t xml:space="preserve">تشغيل الخطوات على نسخة نظيفة لا يغيّر أي ملف في </w:t>
      </w:r>
      <w:r>
        <w:rPr>
          <w:rStyle w:val="VerbatimChar"/>
        </w:rPr>
        <w:t>‎</w:t>
      </w:r>
      <w:r>
        <w:rPr>
          <w:rStyle w:val="VerbatimChar"/>
        </w:rPr>
        <w:t>docs/working/06-thesis/‎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830_3021144519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832_3021144519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834_3021144519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836_3021144519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838_3021144519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840_3021144519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842_3021144519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844_3021144519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شُغِّل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كُتب </w:t>
            </w:r>
            <w:r>
              <w:rPr>
                <w:kern w:val="0"/>
                <w:lang w:val="en-US" w:eastAsia="en-US" w:bidi="ar-SA"/>
              </w:rPr>
              <w:t>LOCK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25T21:14:57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ويغطي </w:t>
            </w:r>
            <w:r>
              <w:rPr>
                <w:kern w:val="0"/>
                <w:lang w:val="en-US" w:eastAsia="en-US" w:bidi="ar-SA"/>
              </w:rPr>
              <w:t>34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ملفاً، وبصمته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ab1c5639…‎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ومرّ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التفصيل في </w:t>
            </w:r>
            <w:r>
              <w:rPr>
                <w:kern w:val="0"/>
                <w:rtl w:val="true"/>
                <w:lang w:val="en-US" w:eastAsia="en-US" w:bidi="ar-SA"/>
              </w:rPr>
              <w:t>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846_3021144519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848_3021144519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عمليات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NFR-03</w:t>
      </w:r>
      <w:r>
        <w:rPr>
          <w:b/>
          <w:bCs/>
          <w:rtl w:val="true"/>
        </w:rPr>
        <w:t xml:space="preserve"> «</w:t>
      </w:r>
      <w:r>
        <w:rPr>
          <w:b/>
          <w:b/>
          <w:bCs/>
          <w:rtl w:val="true"/>
        </w:rPr>
        <w:t>مستوفى بحد أعلى محسوب</w:t>
      </w:r>
      <w:r>
        <w:rPr>
          <w:b/>
          <w:bCs/>
          <w:rtl w:val="true"/>
        </w:rPr>
        <w:t>» (</w:t>
      </w:r>
      <w:r>
        <w:rPr>
          <w:b/>
          <w:bCs/>
        </w:rPr>
        <w:t>D-102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 </w:t>
      </w:r>
      <w:r>
        <w:rPr>
          <w:rtl w:val="true"/>
        </w:rPr>
        <w:t xml:space="preserve">× </w:t>
      </w:r>
      <w:r>
        <w:rPr>
          <w:rtl w:val="true"/>
        </w:rPr>
        <w:t xml:space="preserve">زمن الجدار </w:t>
      </w:r>
      <w:r>
        <w:rPr>
          <w:rtl w:val="true"/>
        </w:rPr>
        <w:t xml:space="preserve">= </w:t>
      </w:r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 xml:space="preserve">للطور </w:t>
      </w:r>
      <w:r>
        <w:rPr/>
        <w:t>2</w:t>
      </w:r>
      <w:r>
        <w:rPr>
          <w:rtl w:val="true"/>
        </w:rPr>
        <w:t xml:space="preserve">، كلاهما </w:t>
      </w:r>
      <w:r>
        <w:rPr/>
        <w:t xml:space="preserve">‎≤‎ 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ساعات لكل طور، بافتراض ألا يزيد العمل المتوازي على أربع عمليات </w:t>
      </w:r>
      <w:r>
        <w:rPr>
          <w:rtl w:val="true"/>
        </w:rPr>
        <w:t>(</w:t>
      </w:r>
      <w:r>
        <w:rPr>
          <w:rStyle w:val="VerbatimChar"/>
        </w:rPr>
        <w:t>‎workers = 4‎</w:t>
      </w:r>
      <w:r>
        <w:rPr>
          <w:rtl w:val="true"/>
        </w:rPr>
        <w:t>)</w:t>
      </w:r>
      <w:r>
        <w:rPr>
          <w:rtl w:val="true"/>
        </w:rPr>
        <w:t xml:space="preserve">، ولا قياس مباشر لزمن المعالج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 xml:space="preserve">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سجل الإذن لعروض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D-91</w:t>
      </w:r>
      <w:r>
        <w:rPr>
          <w:b/>
          <w:b/>
          <w:bCs/>
        </w:rPr>
        <w:t xml:space="preserve">، </w:t>
      </w:r>
      <w:r>
        <w:rPr>
          <w:b/>
          <w:bCs/>
        </w:rPr>
        <w:t>D-94(1)</w:t>
      </w:r>
      <w:r>
        <w:rPr>
          <w:b/>
          <w:b/>
          <w:bCs/>
        </w:rPr>
        <w:t xml:space="preserve">، 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كُتب </w:t>
      </w:r>
      <w:r>
        <w:rPr>
          <w:rStyle w:val="VerbatimChar"/>
        </w:rPr>
        <w:t>‎</w:t>
      </w:r>
      <w:r>
        <w:rPr>
          <w:rStyle w:val="VerbatimChar"/>
        </w:rPr>
        <w:t>results/conf2014/ui_open.json‎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25T23:11:42Z</w:t>
      </w:r>
      <w:r>
        <w:rPr>
          <w:rtl w:val="true"/>
        </w:rPr>
        <w:t xml:space="preserve"> </w:t>
      </w:r>
      <w:r>
        <w:rPr>
          <w:rtl w:val="true"/>
        </w:rPr>
        <w:t xml:space="preserve">بعد تحقق الزميل المطابق </w:t>
      </w:r>
      <w:r>
        <w:rPr>
          <w:rtl w:val="true"/>
        </w:rPr>
        <w:t>(</w:t>
      </w:r>
      <w:r>
        <w:rPr>
          <w:rStyle w:val="VerbatimChar"/>
        </w:rPr>
        <w:t>‎docs/meetings/peer-verify-conf2014.md‎</w:t>
      </w:r>
      <w:r>
        <w:rPr>
          <w:rtl w:val="true"/>
        </w:rPr>
        <w:t>)</w:t>
      </w:r>
      <w:r>
        <w:rPr>
          <w:rtl w:val="true"/>
        </w:rPr>
        <w:t xml:space="preserve">، ويحوي بصمة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الكاملة </w:t>
      </w:r>
      <w:r>
        <w:rPr>
          <w:rtl w:val="true"/>
        </w:rPr>
        <w:t>(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 xml:space="preserve">) </w:t>
      </w:r>
      <w:r>
        <w:rPr>
          <w:rtl w:val="true"/>
        </w:rPr>
        <w:t xml:space="preserve">ووقت 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والوسم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والـ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 </w:t>
      </w:r>
      <w:r>
        <w:rPr>
          <w:rtl w:val="true"/>
        </w:rPr>
        <w:t xml:space="preserve">والإحالة إلى ملحق المحضر </w:t>
      </w:r>
      <w:r>
        <w:rPr/>
        <w:t>04</w:t>
      </w:r>
      <w:r>
        <w:rPr>
          <w:rtl w:val="true"/>
        </w:rPr>
        <w:t>، ولا رقم حكم فيه</w:t>
      </w:r>
      <w:r>
        <w:rPr>
          <w:rtl w:val="true"/>
        </w:rPr>
        <w:t xml:space="preserve">. </w:t>
      </w:r>
      <w:r>
        <w:rPr>
          <w:rtl w:val="true"/>
        </w:rPr>
        <w:t xml:space="preserve">الملف خارج </w:t>
      </w:r>
      <w:r>
        <w:rPr/>
        <w:t>LOCK</w:t>
      </w:r>
      <w:r>
        <w:rPr>
          <w:rtl w:val="true"/>
        </w:rPr>
        <w:t>، وأُعيد التحقق بعد كتابته فطابقت الملفات الـ</w:t>
      </w:r>
      <w:r>
        <w:rPr/>
        <w:t>34</w:t>
      </w:r>
      <w:r>
        <w:rPr>
          <w:rtl w:val="true"/>
        </w:rPr>
        <w:t xml:space="preserve"> </w:t>
      </w:r>
      <w:r>
        <w:rPr>
          <w:rtl w:val="true"/>
        </w:rPr>
        <w:t>المقفلة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والملف سجل إذن فقط </w:t>
      </w:r>
      <w:r>
        <w:rPr>
          <w:b/>
          <w:bCs/>
          <w:rtl w:val="true"/>
        </w:rPr>
        <w:t>(</w:t>
      </w:r>
      <w:r>
        <w:rPr>
          <w:b/>
          <w:bCs/>
        </w:rPr>
        <w:t>D-96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لا كود في </w:t>
      </w:r>
      <w:r>
        <w:rPr>
          <w:rStyle w:val="VerbatimChar"/>
        </w:rPr>
        <w:t>‎</w:t>
      </w:r>
      <w:r>
        <w:rPr>
          <w:rStyle w:val="VerbatimChar"/>
        </w:rPr>
        <w:t>src/‎</w:t>
      </w:r>
      <w:r>
        <w:rPr>
          <w:rtl w:val="true"/>
        </w:rPr>
        <w:t xml:space="preserve"> </w:t>
      </w:r>
      <w:r>
        <w:rPr>
          <w:rtl w:val="true"/>
        </w:rPr>
        <w:t>يقرؤه</w:t>
      </w:r>
      <w:r>
        <w:rPr>
          <w:rtl w:val="true"/>
        </w:rPr>
        <w:t xml:space="preserve">. </w:t>
      </w:r>
      <w:r>
        <w:rPr>
          <w:rtl w:val="true"/>
        </w:rPr>
        <w:t xml:space="preserve">والخلفية ترد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 xml:space="preserve"> </w:t>
      </w:r>
      <w:r>
        <w:rPr>
          <w:rtl w:val="true"/>
        </w:rPr>
        <w:t xml:space="preserve">لكل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دون شرط</w:t>
      </w:r>
      <w:r>
        <w:rPr>
          <w:rtl w:val="true"/>
        </w:rPr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الخطأ لأي اسم من </w:t>
      </w:r>
      <w:r>
        <w:rPr>
          <w:rStyle w:val="VerbatimChar"/>
        </w:rPr>
        <w:t>‎</w:t>
      </w:r>
      <w:r>
        <w:rPr>
          <w:rStyle w:val="VerbatimChar"/>
        </w:rPr>
        <w:t>data.CONF_PRESENTATIONS‎</w:t>
      </w:r>
      <w:r>
        <w:rPr>
          <w:rtl w:val="true"/>
        </w:rPr>
        <w:t xml:space="preserve"> </w:t>
      </w:r>
      <w:r>
        <w:rPr>
          <w:rtl w:val="true"/>
        </w:rPr>
        <w:t>قبل أي قراءة، و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يدرج عرضاً مقفلاً واحداً للتمثيل </w:t>
      </w:r>
      <w:r>
        <w:rPr>
          <w:rtl w:val="true"/>
        </w:rPr>
        <w:t>(</w:t>
      </w:r>
      <w:r>
        <w:rPr>
          <w:rStyle w:val="VerbatimChar"/>
        </w:rPr>
        <w:t>‎LOCKED_LISTED‎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src/backend/settings.py‎</w:t>
      </w:r>
      <w:r>
        <w:rPr>
          <w:rtl w:val="true"/>
        </w:rPr>
        <w:t xml:space="preserve">) </w:t>
      </w:r>
      <w:r>
        <w:rPr>
          <w:rtl w:val="true"/>
        </w:rPr>
        <w:t xml:space="preserve">بتسمية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في الواجهة</w:t>
      </w:r>
      <w:r>
        <w:rPr>
          <w:rtl w:val="true"/>
        </w:rPr>
        <w:t xml:space="preserve">)». </w:t>
      </w:r>
      <w:r>
        <w:rPr>
          <w:rtl w:val="true"/>
        </w:rPr>
        <w:t xml:space="preserve">وقدرة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 (</w:t>
      </w:r>
      <w:r>
        <w:rPr>
          <w:rtl w:val="true"/>
        </w:rPr>
        <w:t xml:space="preserve">بشرط 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LOCK</w:t>
      </w:r>
      <w:r>
        <w:rPr>
          <w:rtl w:val="true"/>
        </w:rPr>
        <w:t xml:space="preserve">) </w:t>
      </w:r>
      <w:r>
        <w:rPr>
          <w:rtl w:val="true"/>
        </w:rPr>
        <w:t xml:space="preserve">منفَّذة ومختبرة وغير مستعملة، فلا مستدعٍ يمرّرها إلى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/>
        <w:t xml:space="preserve"> (§3.12)</w:t>
      </w:r>
      <w:r>
        <w:rPr>
          <w:rtl w:val="true"/>
        </w:rPr>
        <w:t xml:space="preserve">. </w:t>
      </w:r>
      <w:r>
        <w:rPr>
          <w:rtl w:val="true"/>
        </w:rPr>
        <w:t xml:space="preserve">وقرر المشرف إبقاء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مغلقة في الواجهة وإعادة تصنيف 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tl w:val="true"/>
        </w:rPr>
        <w:t>«</w:t>
      </w:r>
      <w:r>
        <w:rPr>
          <w:rtl w:val="true"/>
        </w:rPr>
        <w:t>مؤجَّل إلى عمل مستقبلي</w:t>
      </w:r>
      <w:r>
        <w:rPr>
          <w:rtl w:val="true"/>
        </w:rPr>
        <w:t>»</w:t>
      </w:r>
      <w:r>
        <w:rPr>
          <w:rtl w:val="true"/>
        </w:rPr>
        <w:t xml:space="preserve">، لأن الفتح لا يضيف دليلاً </w:t>
      </w:r>
      <w:r>
        <w:rPr>
          <w:rtl w:val="true"/>
        </w:rPr>
        <w:t>(</w:t>
      </w:r>
      <w:r>
        <w:rPr>
          <w:rtl w:val="true"/>
        </w:rPr>
        <w:t xml:space="preserve">الأرقام لا تؤخذ من الشاشات، </w:t>
      </w:r>
      <w:r>
        <w:rPr/>
        <w:t>D-67</w:t>
      </w:r>
      <w:r>
        <w:rPr>
          <w:rtl w:val="true"/>
        </w:rPr>
        <w:t>)</w:t>
      </w:r>
      <w:r>
        <w:rPr>
          <w:rtl w:val="true"/>
        </w:rPr>
        <w:t xml:space="preserve">، ولأنه يقتضي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كاملة في الخدمة وبناء عناقيدها ومخرجاتها بـ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>بعد التجميد</w:t>
      </w:r>
      <w:r>
        <w:rPr>
          <w:rtl w:val="true"/>
        </w:rPr>
        <w:t xml:space="preserve">. </w:t>
      </w:r>
      <w:r>
        <w:rPr>
          <w:rtl w:val="true"/>
        </w:rPr>
        <w:t xml:space="preserve">فنتائج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تُقرأ من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في هذه النسخة </w:t>
      </w:r>
      <w:r>
        <w:rPr>
          <w:rtl w:val="true"/>
        </w:rPr>
        <w:t>(</w:t>
      </w:r>
      <w:r>
        <w:rPr/>
        <w:t>FR-40</w:t>
      </w:r>
      <w:r>
        <w:rPr>
          <w:rtl w:val="true"/>
        </w:rPr>
        <w:t xml:space="preserve"> </w:t>
      </w:r>
      <w:r>
        <w:rPr>
          <w:rtl w:val="true"/>
        </w:rPr>
        <w:t xml:space="preserve">مؤجَّل، </w:t>
      </w:r>
      <w:r>
        <w:rPr/>
        <w:t>D-96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850_3021144519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852_3021144519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854_3021144519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856_3021144519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858_3021144519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بعد الأحكام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مؤجَّل إلى عمل مستقبلي، </w:t>
            </w:r>
            <w:r>
              <w:rPr>
                <w:kern w:val="0"/>
                <w:lang w:val="en-US" w:eastAsia="en-US" w:bidi="ar-SA"/>
              </w:rPr>
              <w:t>D-96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منفَّذ وغير مستعمل؛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ui_open.json‎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سجل إذن لا يقرؤه 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test_serving.test_fr40_gate‎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يُتخطّى منذ وُجد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verdicts.csv‎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80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80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80</Pages>
  <Words>13815</Words>
  <Characters>75861</Characters>
  <CharactersWithSpaces>86947</CharactersWithSpaces>
  <Paragraphs>1082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2026-10-27T20:23:55Z</dcterms:created>
  <dc:creator>كنان محمد قرحالي</dc:creator>
  <dc:description/>
  <dc:language>ar-SY</dc:language>
  <cp:lastModifiedBy/>
  <dcterms:modified xsi:type="dcterms:W3CDTF">2026-10-27T20:23:58Z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