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bidi w:val="1"/>
      </w:pPr>
      <w:r>
        <w:rPr>
          <w:b/>
          <w:color w:val="1F3864"/>
          <w:sz w:val="32"/>
          <w:szCs w:val="32"/>
        </w:rPr>
        <w:t>الجامعة الافتراضية السورية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6"/>
          <w:szCs w:val="26"/>
        </w:rPr>
        <w:t>ماجستير التأهيل والتخصص في علوم الوب (MWS)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/>
          <w:color w:val="1F3864"/>
          <w:sz w:val="48"/>
          <w:szCs w:val="48"/>
        </w:rPr>
        <w:t>سجل تنفيذ تصويبات المناقشة التجريبية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color w:val="595959"/>
          <w:sz w:val="28"/>
          <w:szCs w:val="28"/>
        </w:rPr>
        <w:t>نظام توصية للتعليم الإلكتروني القائم على تحليل سلوك المستخدم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إعداد الطالب: كنان محمد قرحالي</w:t>
      </w:r>
    </w:p>
    <w:p>
      <w:pPr>
        <w:jc w:val="center"/>
        <w:bidi w:val="1"/>
      </w:pPr>
      <w:r>
        <w:rPr>
          <w:b w:val="0"/>
          <w:sz w:val="28"/>
          <w:szCs w:val="28"/>
        </w:rPr>
        <w:t>إشراف: د. باسل الخطيب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2026</w:t>
      </w:r>
    </w:p>
    <w:p>
      <w:pPr>
        <w:jc w:val="center"/>
        <w:bidi w:val="1"/>
      </w:pPr>
      <w:r>
        <w:br w:type="page"/>
      </w:r>
    </w:p>
    <w:bookmarkStart w:id="26" w:name="سجل-تنفيذ-تصويبات-المناقشة-التجريبية"/>
    <w:p>
      <w:pPr>
        <w:pStyle w:val="Heading1"/>
        <w:bidi w:val="1"/>
      </w:pPr>
      <w:r>
        <w:rPr>
          <w:rtl/>
        </w:rPr>
        <w:t xml:space="preserve">سجل تنفيذ تصويبات المناقشة التجريبية</w:t>
      </w:r>
    </w:p>
    <w:p>
      <w:pPr>
        <w:bidi w:val="1"/>
      </w:pPr>
      <w:r>
        <w:rPr>
          <w:rtl/>
        </w:rPr>
        <w:t xml:space="preserve">يقابل هذا السجل كل بند في قرار اللجنة (</w:t>
      </w:r>
      <w:r>
        <w:rPr>
          <w:rStyle w:val="VerbatimChar"/>
          <w:rtl/>
        </w:rPr>
        <w:t xml:space="preserve">‎r3-alomar-verdict.md‎</w:t>
      </w:r>
      <w:r>
        <w:rPr>
          <w:rtl/>
        </w:rPr>
        <w:t xml:space="preserve">، القسم 5) بما نُفّذ وموضعه. والحالات ثلاث: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منجز.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ينتظر شخصاً:</w:t>
      </w:r>
      <w:r>
        <w:rPr>
          <w:rtl/>
        </w:rPr>
        <w:t xml:space="preserve"> </w:t>
      </w:r>
      <w:r>
        <w:rPr>
          <w:rtl/>
        </w:rPr>
        <w:t xml:space="preserve">لا يُنجزه إلا الطالب أو المشرف أو مشاركون حقيقيون، وأُعدّت أدواته.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tl/>
          <w:bCs/>
          <w:b/>
        </w:rPr>
        <w:t xml:space="preserve">محجوب:</w:t>
      </w:r>
      <w:r>
        <w:rPr>
          <w:rtl/>
        </w:rPr>
        <w:t xml:space="preserve"> </w:t>
      </w:r>
      <w:r>
        <w:rPr>
          <w:rtl/>
        </w:rPr>
        <w:t xml:space="preserve">لم يُنجز لسبب خارج العمل، ويُذكر السبب.</w:t>
      </w:r>
    </w:p>
    <w:bookmarkStart w:id="20" w:name="الأدوات"/>
    <w:p>
      <w:pPr>
        <w:pStyle w:val="Heading2"/>
        <w:bidi w:val="1"/>
      </w:pPr>
      <w:r>
        <w:rPr>
          <w:rtl/>
        </w:rPr>
        <w:t xml:space="preserve">الأدوات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تصويبات النص:</w:t>
      </w:r>
      <w:r>
        <w:rPr>
          <w:rtl/>
        </w:rPr>
        <w:t xml:space="preserve"> </w:t>
      </w:r>
      <w:r>
        <w:rPr>
          <w:rtl/>
        </w:rPr>
        <w:t xml:space="preserve">يطبّقها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‎scripts/thesis/defense_corrections.py‎</w:t>
      </w:r>
      <w:r>
        <w:rPr>
          <w:rtl/>
        </w:rPr>
        <w:t xml:space="preserve"> </w:t>
      </w:r>
      <w:r>
        <w:rPr>
          <w:rtl/>
        </w:rPr>
        <w:t xml:space="preserve">مرة واحدة قبل إضافة المراجع الجديدة وإعادة الترقيم.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الفصل 6:</w:t>
      </w:r>
      <w:r>
        <w:rPr>
          <w:rtl/>
        </w:rPr>
        <w:t xml:space="preserve"> </w:t>
      </w:r>
      <w:r>
        <w:rPr>
          <w:rtl/>
        </w:rPr>
        <w:t xml:space="preserve">فقرات «بعد النتيجة» الجديدة فيه تعيش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‎scripts/thesis/build_ch6.py‎</w:t>
      </w:r>
      <w:r>
        <w:rPr>
          <w:rtl/>
        </w:rPr>
        <w:t xml:space="preserve">، ويُتحقق آلياً من بقاء النص المسجل حرفياً.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الأرقام الجديدة:</w:t>
      </w:r>
      <w:r>
        <w:rPr>
          <w:rtl/>
        </w:rPr>
        <w:t xml:space="preserve"> </w:t>
      </w:r>
      <w:r>
        <w:rPr>
          <w:rtl/>
        </w:rPr>
        <w:t xml:space="preserve">كلها من ملفات النتائج:</w:t>
      </w:r>
    </w:p>
    <w:p>
      <w:pPr>
        <w:numPr>
          <w:ilvl w:val="1"/>
          <w:numId w:val="1002"/>
        </w:numPr>
        <w:pStyle w:val="Compact"/>
        <w:bidi w:val="1"/>
      </w:pPr>
      <w:r>
        <w:rPr>
          <w:rStyle w:val="VerbatimChar"/>
          <w:rtl/>
        </w:rPr>
        <w:t xml:space="preserve">‎results/posthoc/‎</w:t>
      </w:r>
      <w:r>
        <w:rPr>
          <w:rtl/>
        </w:rPr>
        <w:t xml:space="preserve"> </w:t>
      </w:r>
      <w:r>
        <w:rPr>
          <w:rtl/>
        </w:rPr>
        <w:t xml:space="preserve">(التحليلات اللاحقة و</w:t>
      </w:r>
      <w:r>
        <w:rPr>
          <w:rStyle w:val="VerbatimChar"/>
          <w:rtl/>
        </w:rPr>
        <w:t xml:space="preserve">‎defense_stats.json‎</w:t>
      </w:r>
      <w:r>
        <w:rPr>
          <w:rtl/>
        </w:rPr>
        <w:t xml:space="preserve">).</w:t>
      </w:r>
    </w:p>
    <w:p>
      <w:pPr>
        <w:numPr>
          <w:ilvl w:val="1"/>
          <w:numId w:val="1002"/>
        </w:numPr>
        <w:pStyle w:val="Compact"/>
        <w:bidi w:val="1"/>
      </w:pPr>
      <w:r>
        <w:rPr>
          <w:rStyle w:val="VerbatimChar"/>
          <w:rtl/>
        </w:rPr>
        <w:t xml:space="preserve">‎results/conf2014/‎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‎results/dev2013/‎</w:t>
      </w:r>
      <w:r>
        <w:rPr>
          <w:rtl/>
        </w:rPr>
        <w:t xml:space="preserve">.</w:t>
      </w:r>
    </w:p>
    <w:bookmarkEnd w:id="20"/>
    <w:bookmarkStart w:id="21" w:name="أ-شروط-قبل-المنح"/>
    <w:p>
      <w:pPr>
        <w:pStyle w:val="Heading2"/>
        <w:bidi w:val="1"/>
      </w:pPr>
      <w:r>
        <w:rPr>
          <w:rtl/>
        </w:rPr>
        <w:t xml:space="preserve">(أ) شروط قبل المنح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ما نُفّذ وأين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أ-1 الإفصاح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ينتظر الطالب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مسودة وقائعية في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‎docs/defense/disclosure-draft.md‎</w:t>
            </w:r>
            <w:r>
              <w:rPr>
                <w:rtl/>
              </w:rPr>
              <w:t xml:space="preserve">، ويكمل الطالب القسم الثاني ويوقّع. وأُعيدت صياغة نسبة المراجعات في المتن (أ-2)، وأُضيف القيد 25 في 6-9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أ-2 نسبة المراجعات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 بإعادة الصياغة، واعتماد المشرف ينتظره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نُفّذ الطريق الثاني (إعادة الصياغة بما وقع): 5-4-1 و5-4-2 و5-8-1 و5-9 والملحق ج (NFR-05) والملحق د و3-5-12 و7-2. ويبقى للمشرف الفعلي أن يعتمد قرارات التجميد إن شاء، فتُعدَّل العبارات حينها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أ-3 التقويم البشري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ينتظر الطالب مع مشاركين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بروتوكول كامل: المهام، ونموذج الموافقة، واستبانة SUS بالعربية، ونموذج معايير نيلسن، وطريقة التحليل (</w:t>
            </w:r>
            <w:r>
              <w:rPr>
                <w:rStyle w:val="VerbatimChar"/>
                <w:rtl/>
              </w:rPr>
              <w:t xml:space="preserve">‎docs/defense/human-evaluation-protocol.md‎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أ-4 ثلاثة تحليلات لاحقة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‎scripts/posthoc/a4_*.py‎</w:t>
            </w:r>
            <w:r>
              <w:rPr>
                <w:rtl/>
              </w:rPr>
              <w:t xml:space="preserve">، والنتائج في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‎results/posthoc/‎</w:t>
            </w:r>
            <w:r>
              <w:rPr>
                <w:rtl/>
              </w:rPr>
              <w:t xml:space="preserve">، والملحق هـ (الجداول هـ-1 إلى هـ-3). وأعادت كل أداة إنتاج أرقام مقفلة بفرق ‎≤‎ 1e-6 قبل أن تكتب. وأُحيل إليها في 5-8-5 و5-8-7 و6-3 و6-5 و7-3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أ-5 مقارنة scikit-learn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محجوب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السكربت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‎scripts/posthoc/sklearn_equivalence.py‎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جاهز ومختبر بسبعة اختبارات (</w:t>
            </w:r>
            <w:r>
              <w:rPr>
                <w:rStyle w:val="VerbatimChar"/>
                <w:rtl/>
              </w:rPr>
              <w:t xml:space="preserve">‎scripts/posthoc/test_sklearn_equivalence.py‎</w:t>
            </w:r>
            <w:r>
              <w:rPr>
                <w:rtl/>
              </w:rPr>
              <w:t xml:space="preserve">). تشغيله يحتاج scikit-learn، وتثبيتها رُفض لأن سياسة الشبكة في بيئة العمل تحجب pypi.org. يُشغَّل على حاسوب فيه المكتبة، ثم يُعاد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‎python3 scripts/thesis/appendix_e.py‎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فيُدرج الجدول في هـ-5</w:t>
            </w:r>
          </w:p>
        </w:tc>
      </w:tr>
    </w:tbl>
    <w:bookmarkEnd w:id="21"/>
    <w:bookmarkStart w:id="22" w:name="ب-تصويبات-جوهرية"/>
    <w:p>
      <w:pPr>
        <w:pStyle w:val="Heading2"/>
        <w:bidi w:val="1"/>
      </w:pPr>
      <w:r>
        <w:rPr>
          <w:rtl/>
        </w:rPr>
        <w:t xml:space="preserve">(ب) تصويبات جوهرية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المواضع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ب-1 صياغة H1 بالحد 0.0204 (و0.043 على المقررات)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الملخصان، و1-6، و6-3 (بعد النتيجة)، و7-2، و7-3، و7-7، والعرض التقديمي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ب-2 وحدة العرض والارتباط والمقررات بجوار الحكم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3-5-5، و5-8-2، و6-6 و6-8-4 (بعد النتيجة)، والملخصان، و7-3، والملحق هـ (الجدول هـ-4)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ب-3 H3: لا تكافؤ في المعلومة، والميزانية، وبونفيروني، ونقاط القطع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3-4-4، و5-8-5، و6-5 و6-8-3 (بعد النتيجة)، و7-3، والملحق هـ (هـ-2 وهـ-4)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ب-4 رواية بناء الهجين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 (القاعدة الابتدائية، وسبب الرفض، والأرضية، والتركيبتان، والتفاؤل)، و6-8-1 (بعد النتيجة)، و7-4 (الدرس الخامس)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ب-5 H2-أ: العائلة الموزونة والحداثة وتهديد صدق البناء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5-8-4، و6-4 و6-8-3 (بعد النتيجة)، و7-3، والملخصان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ب-6 أدبيات التوصية بالسلة التالية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مرجعان محققان: TIFU-KNN وLi وزملاؤه 2023. أُدرجا في 2-1 و2-2 والفجوة الثانية و2-7-3 و1-6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ب-7 قصر «القيمة العملية» على «مؤكَّدة بهامش»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6-2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ب-8 FR-32 وNFR-14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ترقيم الصفحات وتصفية الخمول على الفوج كله في الخدمة مع اختبارات، فصار FR-32 منفّذاً فعلاً. NFR-14 «جزئي» مع بيان ما يُفحص آلياً. وأُضيف إلى الاختبار الطرفي فحص ترتيب التركيز والعرض 360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ب-9 الانحراف عن أدوات الخطة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منجز، والتبرير الشخصي ينتظر الطالب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1-5، و3-6-1، و6-9 (القيد 23). وقد يضيف الطالب، إن شاء، تبريراً يخصه غير قيد بيئة العمل</w:t>
            </w:r>
          </w:p>
        </w:tc>
      </w:tr>
    </w:tbl>
    <w:bookmarkEnd w:id="22"/>
    <w:bookmarkStart w:id="23" w:name="ج-تصويبات-ثانوية"/>
    <w:p>
      <w:pPr>
        <w:pStyle w:val="Heading2"/>
        <w:bidi w:val="1"/>
      </w:pPr>
      <w:r>
        <w:rPr>
          <w:rtl/>
        </w:rPr>
        <w:t xml:space="preserve">(ج) تصويبات ثانوية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البند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jc w:val="left"/>
            </w:pPr>
            <w:r>
              <w:rPr>
                <w:b/>
                <w:rtl/>
              </w:rPr>
              <w:t xml:space="preserve">المواضع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 مبرر δ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3-5-6، والملحق هـ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ج-2 فاصل σ ومدى MDE80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5-7-5، والملحق هـ (هـ-5)، و6-8-4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ج-3 تغطية bootstrap-t بتوزيعات ملتوية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3-5-5، والملحق هـ (هـ-6). النتيجة بين 0.92 و0.96، وليست «بين 0.95 و0.96» كما قيل في الجلسة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ج-4 فواصل الإنصاف مشروطة بالعروض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5-8-9، و6-10 (النص المملوء)، و6-8-4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ج-5 نص H3 في الفصل الأول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1-4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ج-6 عدد القيود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6-11: صارت خمسة وعشرين بعد إضافة خمسة قيود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ج-7 انحلال الهجين غير الشخصي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ج-8 المرجع الأقرب ونافذة الشعبية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1-2-3، و6-3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ج-9 «سُدّت منهجياً»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6-7 (بعد النتيجة)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ج-10 احتمال القبول وعدم استقرار العناقيد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5-7-3، و6-9 (القيد 21، والقيد 13 القائم)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ج-11 الجمل القابلة للاستشهاد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بصيغة التعقيب المصحَّحة في 6-3 و7-3 والملحق هـ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ج-12 عدد النماذج في العرض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‎docs/defense/01-researcher-presentation.md‎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ج-13 الاعتماديات والوسم وREADME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 إلا الوسم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‎requirements.txt‎</w:t>
            </w:r>
            <w:r>
              <w:rPr>
                <w:rtl/>
              </w:rPr>
              <w:t xml:space="preserve">، و</w:t>
            </w:r>
            <w:r>
              <w:rPr>
                <w:rStyle w:val="VerbatimChar"/>
                <w:rtl/>
              </w:rPr>
              <w:t xml:space="preserve">‎/api/meta‎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  <w:rtl/>
              </w:rPr>
              <w:t xml:space="preserve">‎runtime‎</w:t>
            </w:r>
            <w:r>
              <w:rPr>
                <w:rtl/>
              </w:rPr>
              <w:t xml:space="preserve">)، وREADME (130 و55 اختباراً). أما دفع الوسم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‎freeze-03‎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فرُفض في بيئة العمل، وأمراه في ملف التسليم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ج-14 «بصياغة احتمالية» ولون الحدود ونص المؤشر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3-7، والجدول 4-11، والواجهة (</w:t>
            </w:r>
            <w:r>
              <w:rPr>
                <w:rStyle w:val="VerbatimChar"/>
                <w:rtl/>
              </w:rPr>
              <w:t xml:space="preserve">‎instructor.ts‎</w:t>
            </w:r>
            <w:r>
              <w:rPr>
                <w:rtl/>
              </w:rPr>
              <w:t xml:space="preserve">، و</w:t>
            </w:r>
            <w:r>
              <w:rPr>
                <w:rStyle w:val="VerbatimChar"/>
                <w:rtl/>
              </w:rPr>
              <w:t xml:space="preserve">‎/api/meta‎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ج-15 تفاصيل التشغيل إلى ملحق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سجل التشغيلات من 5-4-1 إلى الملحق هـ (هـ-6)، و3-6-1 (الخدمة والإصدارات)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ج-16 اختبار التسرب ولوحة المفاتيح والعرض 360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Style w:val="VerbatimChar"/>
                <w:rtl/>
              </w:rPr>
              <w:t xml:space="preserve">‎src/ml/tests/test_serving.py‎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‎src/backend/e2e/live-screenshots.js‎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ج-17 NFR-01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أُعيدت صياغته في 4-3 والملحق ج: الحد للأيام المسخَّنة، والطلب البارد لغيرها نحو عشر ثوانٍ</w:t>
            </w:r>
          </w:p>
        </w:tc>
      </w:tr>
      <w:tr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ج-18 المراجع الهندسية والأخلاقية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منجز</w:t>
            </w:r>
          </w:p>
        </w:tc>
        <w:tc>
          <w:tcPr/>
          <w:p>
            <w:pPr>
              <w:pStyle w:val="Compact"/>
              <w:bidi w:val="1"/>
              <w:jc w:val="left"/>
            </w:pPr>
            <w:r>
              <w:rPr>
                <w:rtl/>
              </w:rPr>
              <w:t xml:space="preserve">أربعة مراجع: ISO/IEC/IEEE 29148 وISO/IEC 25010 في 4-3-1، وDELICATE في 3-7 و6-10، وTintarev وMasthoff في 4-9-5</w:t>
            </w:r>
          </w:p>
        </w:tc>
      </w:tr>
    </w:tbl>
    <w:bookmarkEnd w:id="23"/>
    <w:bookmarkStart w:id="24" w:name="ما-كشفه-التنفيذ-ولم-تطلبه-اللجنة"/>
    <w:p>
      <w:pPr>
        <w:pStyle w:val="Heading2"/>
        <w:bidi w:val="1"/>
      </w:pPr>
      <w:r>
        <w:rPr>
          <w:rtl/>
        </w:rPr>
        <w:t xml:space="preserve">ما كشفه التنفيذ ولم تطلبه اللجنة</w:t>
      </w:r>
    </w:p>
    <w:p>
      <w:pPr>
        <w:bidi w:val="1"/>
      </w:pPr>
      <w:r>
        <w:rPr>
          <w:rtl/>
          <w:bCs/>
          <w:b/>
        </w:rPr>
        <w:t xml:space="preserve">تسرب في إحصاءات لوحة المدرّس.</w:t>
      </w:r>
      <w:r>
        <w:rPr>
          <w:rtl/>
        </w:rPr>
        <w:t xml:space="preserve"> </w:t>
      </w:r>
      <w:r>
        <w:rPr>
          <w:rtl/>
        </w:rPr>
        <w:t xml:space="preserve">كشف اختبار التسرب الموسَّع (ج-16) أن المتعلمين المسجَّلين بعد اليوم t كانوا يدخلون:</w:t>
      </w:r>
      <w:r>
        <w:rPr>
          <w:rtl/>
        </w:rPr>
        <w:t xml:space="preserve"> </w:t>
      </w:r>
      <w:r>
        <w:rPr>
          <w:rtl/>
        </w:rPr>
        <w:t xml:space="preserve">- عدد التسجيلات ووسيط الأيام النشطة في النظرة العامة.</w:t>
      </w:r>
      <w:r>
        <w:rPr>
          <w:rtl/>
        </w:rPr>
        <w:t xml:space="preserve"> </w:t>
      </w:r>
      <w:r>
        <w:rPr>
          <w:rtl/>
        </w:rPr>
        <w:t xml:space="preserve">- حزم درجة الخطر.</w:t>
      </w:r>
      <w:r>
        <w:rPr>
          <w:rtl/>
        </w:rPr>
        <w:t xml:space="preserve"> </w:t>
      </w:r>
      <w:r>
        <w:rPr>
          <w:rtl/>
        </w:rPr>
        <w:t xml:space="preserve">- الدرجات المعيارية لدرجة الخطر النسبية.</w:t>
      </w:r>
    </w:p>
    <w:p>
      <w:pPr>
        <w:bidi w:val="1"/>
      </w:pPr>
      <w:r>
        <w:rPr>
          <w:rtl/>
        </w:rPr>
        <w:t xml:space="preserve">أُصلح الخلل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‎src/ml/serving.py‎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‎src/backend/services/instructor.py‎</w:t>
      </w:r>
      <w:r>
        <w:rPr>
          <w:rtl/>
        </w:rPr>
        <w:t xml:space="preserve">، وأُفصح عنه في 5-6-1 و6-8-1 (بعد النتيجة). ولم يمس أي رقم في الرسالة، لأن الواجهة لا يُشتق منها رقم تقييم. ولم يتغير العرض الظاهر في الصور (FFF_2013J)، وتغيّرت درجات متعلم إلى ثلاثة في كل من خمسة عروض تطوير.</w:t>
      </w:r>
    </w:p>
    <w:p>
      <w:pPr>
        <w:bidi w:val="1"/>
      </w:pPr>
      <w:r>
        <w:rPr>
          <w:rtl/>
          <w:bCs/>
          <w:b/>
        </w:rPr>
        <w:t xml:space="preserve">أثر إضافة المراجع على الترقيم.</w:t>
      </w:r>
      <w:r>
        <w:rPr>
          <w:rtl/>
        </w:rPr>
        <w:t xml:space="preserve"> </w:t>
      </w:r>
      <w:r>
        <w:rPr>
          <w:rtl/>
        </w:rPr>
        <w:t xml:space="preserve">صارت المراجع 70، وأُعيد ترقيمها بترتيب الظهور. فالمرجعان اللذان يذكرهما ملف التسليم صار رقماهما [22] (Kumar وآخرون) و[26] (Chandna وKumar).</w:t>
      </w:r>
    </w:p>
    <w:bookmarkEnd w:id="24"/>
    <w:bookmarkStart w:id="25" w:name="التحقق"/>
    <w:p>
      <w:pPr>
        <w:pStyle w:val="Heading2"/>
        <w:bidi w:val="1"/>
      </w:pPr>
      <w:r>
        <w:rPr>
          <w:rtl/>
        </w:rPr>
        <w:t xml:space="preserve">التحقق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الاختبارات:</w:t>
      </w:r>
      <w:r>
        <w:rPr>
          <w:rtl/>
        </w:rPr>
        <w:t xml:space="preserve"> </w:t>
      </w:r>
      <w:r>
        <w:rPr>
          <w:rtl/>
        </w:rPr>
        <w:t xml:space="preserve">130 اختباراً في حزمة التجارب و55 في الخدمة نجحت كلها، ونجح فحص الأنواع في الواجهة.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الفحص الطرفي الحي:</w:t>
      </w:r>
      <w:r>
        <w:rPr>
          <w:rtl/>
        </w:rPr>
        <w:t xml:space="preserve"> </w:t>
      </w:r>
      <w:r>
        <w:rPr>
          <w:rtl/>
        </w:rPr>
        <w:t xml:space="preserve">«LIVE OK» على ثلاثة عروض شاشة.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الفصل 6:</w:t>
      </w:r>
      <w:r>
        <w:rPr>
          <w:rtl/>
        </w:rPr>
        <w:t xml:space="preserve"> </w:t>
      </w:r>
      <w:r>
        <w:rPr>
          <w:rtl/>
        </w:rPr>
        <w:t xml:space="preserve">النص المسجل مطابق لنسخة الوسم، وكل الفروق محذوفات مسجلة أو ملء أو فقرات «بعد النتيجة».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خط الأطروحة:</w:t>
      </w:r>
      <w:r>
        <w:rPr>
          <w:rtl/>
        </w:rPr>
        <w:t xml:space="preserve"> </w:t>
      </w:r>
      <w:r>
        <w:rPr>
          <w:rtl/>
        </w:rPr>
        <w:t xml:space="preserve">إعادة تشغيله لا تغيّر شيئاً.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الترقيم:</w:t>
      </w:r>
      <w:r>
        <w:rPr>
          <w:rtl/>
        </w:rPr>
        <w:t xml:space="preserve"> </w:t>
      </w:r>
      <w:r>
        <w:rPr>
          <w:rtl/>
        </w:rPr>
        <w:t xml:space="preserve">فحوص الترقيم ناجحة، والمراجع السبعون كلها مستشهد بها.</w:t>
      </w:r>
    </w:p>
    <w:bookmarkEnd w:id="25"/>
    <w:bookmarkEnd w:id="26"/>
    <w:sectPr>
      <w:footerReference w:type="default" r:id="rId9"/>
      <w:pgSz w:w="11906" w:h="16838"/>
      <w:pgMar w:top="1417" w:bottom="1417" w:left="1417" w:right="1701"/>
      <w:bidi w:val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styleId="BodyText" w:type="paragraph">
    <w:name w:val="Body Text"/>
    <w:basedOn w:val="Normal"/>
    <w:link w:val="BodyTextChar"/>
    <w:pPr>
      <w:spacing w:after="120" w:before="180" w:line="360" w:lineRule="auto"/>
      <w:bidi w:val="1"/>
      <w:jc w:val="both"/>
    </w:pPr>
    <w:qFormat/>
    <w:rPr>
      <w:rFonts w:ascii="Times New Roman" w:hAnsi="Times New Roman" w:cs="Simplified Arabic" w:eastAsia="Times New Roman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  <w:bidi w:val="1"/>
    </w:pPr>
    <w:rPr>
      <w:rFonts w:ascii="Times New Roman" w:hAnsi="Times New Roman" w:cs="Simplified Arabic" w:eastAsia="Times New Roman"/>
      <w:sz w:val="28"/>
      <w:szCs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bidi w:val="1"/>
    </w:pPr>
    <w:rPr>
      <w:rFonts w:ascii="Times New Roman" w:hAnsi="Times New Roman" w:cs="Simplified Arabic" w:eastAsia="Times New Roman"/>
      <w:b w:val="1"/>
      <w:bCs w:val="1"/>
      <w:color w:themeColor="accent1" w:themeShade="B5" w:val="1F3864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bidi w:val="1"/>
    </w:pPr>
    <w:rPr>
      <w:rFonts w:ascii="Times New Roman" w:hAnsi="Times New Roman" w:cs="Simplified Arabic" w:eastAsia="Times New Roman"/>
      <w:sz w:val="32"/>
      <w:szCs w:val="32"/>
      <w:color w:val="1F3864"/>
      <w:b w:val="1"/>
      <w:bCs w:val="1"/>
    </w:rPr>
  </w:style>
  <w:style w:customStyle="1" w:styleId="Author" w:type="paragraph">
    <w:name w:val="Author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styleId="Date" w:type="paragraph">
    <w:name w:val="Date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  <w:bidi w:val="1"/>
    </w:pPr>
    <w:rPr>
      <w:rFonts w:ascii="Times New Roman" w:hAnsi="Times New Roman" w:cs="Simplified Arabic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 w:val="1"/>
    </w:pPr>
    <w:rPr>
      <w:rFonts w:ascii="Times New Roman" w:hAnsi="Times New Roman" w:cs="Simplified Arabic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 w:val="1"/>
    </w:pPr>
    <w:rPr>
      <w:rFonts w:ascii="Times New Roman" w:hAnsi="Times New Roman" w:cs="Simplified Arabic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 w:val="1"/>
    </w:pPr>
    <w:rPr>
      <w:rFonts w:ascii="Times New Roman" w:hAnsi="Times New Roman" w:cs="Simplified Arabic" w:eastAsia="Times New Roman"/>
      <w:i/>
      <w:bCs w:val="1"/>
      <w:color w:themeColor="accent1" w:val="1F3864"/>
      <w:sz w:val="26"/>
      <w:szCs w:val="26"/>
      <w:b w:val="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 w:val="1"/>
    </w:pPr>
    <w:rPr>
      <w:rFonts w:ascii="Times New Roman" w:hAnsi="Times New Roman" w:cs="Simplified Arabic" w:eastAsia="Times New Roman"/>
      <w:iCs/>
      <w:color w:themeColor="accent1" w:val="1F3864"/>
      <w:sz w:val="24"/>
      <w:szCs w:val="24"/>
      <w:b w:val="1"/>
      <w:bCs w:val="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 w:val="1"/>
    </w:pPr>
    <w:rPr>
      <w:rFonts w:ascii="Times New Roman" w:hAnsi="Times New Roman" w:cs="Simplified Arabic" w:eastAsia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 w:val="1"/>
    </w:pPr>
    <w:rPr>
      <w:rFonts w:ascii="Times New Roman" w:hAnsi="Times New Roman" w:cs="Simplified Arabic" w:eastAsia="Times New Roman"/>
    </w:rPr>
  </w:style>
  <w:style w:default="1" w:styleId="DefaultParagraphFont" w:type="character">
    <w:name w:val="Default Paragraph Font"/>
    <w:semiHidden/>
    <w:unhideWhenUsed/>
    <w:pPr>
      <w:bidi w:val="1"/>
    </w:pPr>
    <w:rPr>
      <w:rFonts w:ascii="Times New Roman" w:hAnsi="Times New Roman" w:cs="Simplified Arabic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pPr>
      <w:bidi w:val="1"/>
    </w:pPr>
    <w:rPr>
      <w:rFonts w:ascii="Times New Roman" w:hAnsi="Times New Roman" w:cs="Simplified Arabic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 w:val="1"/>
    </w:pPr>
    <w:rPr>
      <w:rFonts w:ascii="Times New Roman" w:hAnsi="Times New Roman" w:cs="Simplified Arabic" w:eastAsia="Times New Roman"/>
      <w:b/>
    </w:rPr>
  </w:style>
  <w:style w:customStyle="1" w:styleId="Definition" w:type="paragraph">
    <w:name w:val="Definition"/>
    <w:basedOn w:val="Normal"/>
    <w:pPr>
      <w:bidi w:val="1"/>
    </w:pPr>
    <w:rPr>
      <w:rFonts w:ascii="Times New Roman" w:hAnsi="Times New Roman" w:cs="Simplified Arabic" w:eastAsia="Times New Roman"/>
    </w:rPr>
  </w:style>
  <w:style w:styleId="Caption" w:type="paragraph">
    <w:name w:val="Caption"/>
    <w:basedOn w:val="Normal"/>
    <w:link w:val="BodyTextChar"/>
    <w:pPr>
      <w:spacing w:after="120" w:before="0"/>
      <w:bidi w:val="1"/>
    </w:pPr>
    <w:rPr>
      <w:rFonts w:ascii="Times New Roman" w:hAnsi="Times New Roman" w:cs="Simplified Arabic" w:eastAsia="Times New Roman"/>
      <w:i/>
    </w:rPr>
  </w:style>
  <w:style w:customStyle="1" w:styleId="TableCaption" w:type="paragraph">
    <w:name w:val="Table Caption"/>
    <w:basedOn w:val="Caption"/>
    <w:pPr>
      <w:keepNext/>
      <w:bidi w:val="1"/>
    </w:pPr>
    <w:rPr>
      <w:rFonts w:ascii="Times New Roman" w:hAnsi="Times New Roman" w:cs="Simplified Arabic" w:eastAsia="Times New Roman"/>
    </w:rPr>
  </w:style>
  <w:style w:customStyle="1" w:styleId="ImageCaption" w:type="paragraph">
    <w:name w:val="Image Caption"/>
    <w:basedOn w:val="Caption"/>
    <w:pPr>
      <w:bidi w:val="1"/>
    </w:pPr>
    <w:rPr>
      <w:rFonts w:ascii="Times New Roman" w:hAnsi="Times New Roman" w:cs="Simplified Arabic" w:eastAsia="Times New Roman"/>
    </w:rPr>
  </w:style>
  <w:style w:customStyle="1" w:styleId="Figure" w:type="paragraph">
    <w:name w:val="Figure"/>
    <w:basedOn w:val="Normal"/>
    <w:pPr>
      <w:bidi w:val="1"/>
    </w:pPr>
    <w:rPr>
      <w:rFonts w:ascii="Times New Roman" w:hAnsi="Times New Roman" w:cs="Simplified Arabic" w:eastAsia="Times New Roman"/>
    </w:rPr>
  </w:style>
  <w:style w:customStyle="1" w:styleId="CaptionedFigure" w:type="paragraph">
    <w:name w:val="Captioned Figure"/>
    <w:basedOn w:val="Figure"/>
    <w:pPr>
      <w:keepNext/>
      <w:bidi w:val="1"/>
    </w:pPr>
    <w:rPr>
      <w:rFonts w:ascii="Times New Roman" w:hAnsi="Times New Roman" w:cs="Simplified Arabic" w:eastAsia="Times New Roman"/>
    </w:rPr>
  </w:style>
  <w:style w:customStyle="1" w:styleId="BodyTextChar" w:type="character">
    <w:name w:val="Body Text Char"/>
    <w:basedOn w:val="DefaultParagraphFont"/>
    <w:link w:val="BodyText"/>
    <w:pPr>
      <w:bidi w:val="1"/>
    </w:pPr>
    <w:rPr>
      <w:rFonts w:ascii="Times New Roman" w:hAnsi="Times New Roman" w:cs="Simplified Arabic" w:eastAsia="Times New Roman"/>
    </w:rPr>
  </w:style>
  <w:style w:customStyle="1" w:styleId="VerbatimChar" w:type="character">
    <w:name w:val="Verbatim Char"/>
    <w:basedOn w:val="BodyTextChar"/>
    <w:pPr>
      <w:bidi w:val="0"/>
      <w:jc w:val="left"/>
    </w:pPr>
    <w:rPr>
      <w:rFonts w:ascii="Consolas" w:hAnsi="Consolas" w:cs="Simplified Arabic" w:eastAsia="Consolas"/>
      <w:sz w:val="22"/>
    </w:rPr>
  </w:style>
  <w:style w:customStyle="1" w:styleId="SectionNumber" w:type="character">
    <w:name w:val="Section Number"/>
    <w:basedOn w:val="BodyTextChar"/>
    <w:pPr>
      <w:bidi w:val="1"/>
    </w:pPr>
    <w:rPr>
      <w:rFonts w:ascii="Times New Roman" w:hAnsi="Times New Roman" w:cs="Simplified Arabic" w:eastAsia="Times New Roman"/>
    </w:rPr>
  </w:style>
  <w:style w:styleId="FootnoteReference" w:type="character">
    <w:name w:val="Footnote Reference"/>
    <w:basedOn w:val="BodyTextChar"/>
    <w:pPr>
      <w:bidi w:val="1"/>
    </w:pPr>
    <w:rPr>
      <w:rFonts w:ascii="Times New Roman" w:hAnsi="Times New Roman" w:cs="Simplified Arabic" w:eastAsia="Times New Roman"/>
      <w:vertAlign w:val="superscript"/>
    </w:rPr>
  </w:style>
  <w:style w:styleId="Hyperlink" w:type="character">
    <w:name w:val="Hyperlink"/>
    <w:basedOn w:val="BodyTextChar"/>
    <w:pPr>
      <w:bidi w:val="1"/>
    </w:pPr>
    <w:rPr>
      <w:rFonts w:ascii="Times New Roman" w:hAnsi="Times New Roman" w:cs="Simplified Arabic" w:eastAsia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 w:val="1"/>
    </w:pPr>
    <w:rPr>
      <w:rFonts w:ascii="Times New Roman" w:hAnsi="Times New Roman" w:cs="Simplified Arabic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bidi w:val="0"/>
      <w:jc w:val="left"/>
    </w:pPr>
    <w:rPr>
      <w:rFonts w:ascii="Consolas" w:hAnsi="Consolas" w:cs="Simplified Arabic" w:eastAsia="Consolas"/>
    </w:rPr>
  </w:style>
  <w:style w:type="character" w:customStyle="1" w:styleId="KeywordTok">
    <w:name w:val="Keyword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DataTypeTok">
    <w:name w:val="DataTypeTok"/>
    <w:basedOn w:val="VerbatimChar"/>
    <w:pPr>
      <w:bidi w:val="1"/>
    </w:pPr>
    <w:rPr>
      <w:rFonts w:ascii="Times New Roman" w:hAnsi="Times New Roman" w:cs="Simplified Arabic" w:eastAsia="Times New Roman"/>
      <w:color w:val="902000"/>
    </w:rPr>
  </w:style>
  <w:style w:type="character" w:customStyle="1" w:styleId="DecValTok">
    <w:name w:val="DecVal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BaseNTok">
    <w:name w:val="BaseN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FloatTok">
    <w:name w:val="Float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ConstantTok">
    <w:name w:val="ConstantTok"/>
    <w:basedOn w:val="VerbatimChar"/>
    <w:pPr>
      <w:bidi w:val="1"/>
    </w:pPr>
    <w:rPr>
      <w:rFonts w:ascii="Times New Roman" w:hAnsi="Times New Roman" w:cs="Simplified Arabic" w:eastAsia="Times New Roman"/>
      <w:color w:val="880000"/>
    </w:rPr>
  </w:style>
  <w:style w:type="character" w:customStyle="1" w:styleId="CharTok">
    <w:name w:val="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CharTok">
    <w:name w:val="Special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tringTok">
    <w:name w:val="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VerbatimStringTok">
    <w:name w:val="Verbatim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StringTok">
    <w:name w:val="SpecialStringTok"/>
    <w:basedOn w:val="VerbatimChar"/>
    <w:pPr>
      <w:bidi w:val="1"/>
    </w:pPr>
    <w:rPr>
      <w:rFonts w:ascii="Times New Roman" w:hAnsi="Times New Roman" w:cs="Simplified Arabic" w:eastAsia="Times New Roman"/>
      <w:color w:val="bb6688"/>
    </w:rPr>
  </w:style>
  <w:style w:type="character" w:customStyle="1" w:styleId="ImportTok">
    <w:name w:val="ImportTok"/>
    <w:basedOn w:val="VerbatimChar"/>
    <w:pPr>
      <w:bidi w:val="1"/>
    </w:pPr>
    <w:rPr>
      <w:rFonts w:ascii="Times New Roman" w:hAnsi="Times New Roman" w:cs="Simplified Arabic" w:eastAsia="Times New Roman"/>
      <w:color w:val="008000"/>
      <w:b/>
    </w:rPr>
  </w:style>
  <w:style w:type="character" w:customStyle="1" w:styleId="CommentTok">
    <w:name w:val="CommentTok"/>
    <w:basedOn w:val="VerbatimChar"/>
    <w:pPr>
      <w:bidi w:val="1"/>
    </w:pPr>
    <w:rPr>
      <w:rFonts w:ascii="Times New Roman" w:hAnsi="Times New Roman" w:cs="Simplified Arabic" w:eastAsia="Times New Roman"/>
      <w:color w:val="60a0b0"/>
      <w:i/>
    </w:rPr>
  </w:style>
  <w:style w:type="character" w:customStyle="1" w:styleId="DocumentationTok">
    <w:name w:val="DocumentationTok"/>
    <w:basedOn w:val="VerbatimChar"/>
    <w:pPr>
      <w:bidi w:val="1"/>
    </w:pPr>
    <w:rPr>
      <w:rFonts w:ascii="Times New Roman" w:hAnsi="Times New Roman" w:cs="Simplified Arabic" w:eastAsia="Times New Roman"/>
      <w:color w:val="ba2121"/>
      <w:i/>
    </w:rPr>
  </w:style>
  <w:style w:type="character" w:customStyle="1" w:styleId="AnnotationTok">
    <w:name w:val="Annot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CommentVarTok">
    <w:name w:val="CommentVar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OtherTok">
    <w:name w:val="OtherTok"/>
    <w:basedOn w:val="VerbatimChar"/>
    <w:pPr>
      <w:bidi w:val="1"/>
    </w:pPr>
    <w:rPr>
      <w:rFonts w:ascii="Times New Roman" w:hAnsi="Times New Roman" w:cs="Simplified Arabic" w:eastAsia="Times New Roman"/>
      <w:color w:val="007020"/>
    </w:rPr>
  </w:style>
  <w:style w:type="character" w:customStyle="1" w:styleId="FunctionTok">
    <w:name w:val="FunctionTok"/>
    <w:basedOn w:val="VerbatimChar"/>
    <w:pPr>
      <w:bidi w:val="1"/>
    </w:pPr>
    <w:rPr>
      <w:rFonts w:ascii="Times New Roman" w:hAnsi="Times New Roman" w:cs="Simplified Arabic" w:eastAsia="Times New Roman"/>
      <w:color w:val="06287e"/>
    </w:rPr>
  </w:style>
  <w:style w:type="character" w:customStyle="1" w:styleId="VariableTok">
    <w:name w:val="VariableTok"/>
    <w:basedOn w:val="VerbatimChar"/>
    <w:pPr>
      <w:bidi w:val="1"/>
    </w:pPr>
    <w:rPr>
      <w:rFonts w:ascii="Times New Roman" w:hAnsi="Times New Roman" w:cs="Simplified Arabic" w:eastAsia="Times New Roman"/>
      <w:color w:val="19177c"/>
    </w:rPr>
  </w:style>
  <w:style w:type="character" w:customStyle="1" w:styleId="ControlFlowTok">
    <w:name w:val="ControlFlow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OperatorTok">
    <w:name w:val="OperatorTok"/>
    <w:basedOn w:val="VerbatimChar"/>
    <w:pPr>
      <w:bidi w:val="1"/>
    </w:pPr>
    <w:rPr>
      <w:rFonts w:ascii="Times New Roman" w:hAnsi="Times New Roman" w:cs="Simplified Arabic" w:eastAsia="Times New Roman"/>
      <w:color w:val="666666"/>
    </w:rPr>
  </w:style>
  <w:style w:type="character" w:customStyle="1" w:styleId="BuiltInTok">
    <w:name w:val="BuiltInTok"/>
    <w:basedOn w:val="VerbatimChar"/>
    <w:pPr>
      <w:bidi w:val="1"/>
    </w:pPr>
    <w:rPr>
      <w:rFonts w:ascii="Times New Roman" w:hAnsi="Times New Roman" w:cs="Simplified Arabic" w:eastAsia="Times New Roman"/>
      <w:color w:val="008000"/>
    </w:rPr>
  </w:style>
  <w:style w:type="character" w:customStyle="1" w:styleId="ExtensionTok">
    <w:name w:val="Extension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PreprocessorTok">
    <w:name w:val="PreprocessorTok"/>
    <w:basedOn w:val="VerbatimChar"/>
    <w:pPr>
      <w:bidi w:val="1"/>
    </w:pPr>
    <w:rPr>
      <w:rFonts w:ascii="Times New Roman" w:hAnsi="Times New Roman" w:cs="Simplified Arabic" w:eastAsia="Times New Roman"/>
      <w:color w:val="bc7a00"/>
    </w:rPr>
  </w:style>
  <w:style w:type="character" w:customStyle="1" w:styleId="AttributeTok">
    <w:name w:val="AttributeTok"/>
    <w:basedOn w:val="VerbatimChar"/>
    <w:pPr>
      <w:bidi w:val="1"/>
    </w:pPr>
    <w:rPr>
      <w:rFonts w:ascii="Times New Roman" w:hAnsi="Times New Roman" w:cs="Simplified Arabic" w:eastAsia="Times New Roman"/>
      <w:color w:val="7d9029"/>
    </w:rPr>
  </w:style>
  <w:style w:type="character" w:customStyle="1" w:styleId="RegionMarkerTok">
    <w:name w:val="RegionMarker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InformationTok">
    <w:name w:val="Inform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WarningTok">
    <w:name w:val="Warning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AlertTok">
    <w:name w:val="Alert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ErrorTok">
    <w:name w:val="Error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NormalTok">
    <w:name w:val="NormalTok"/>
    <w:basedOn w:val="VerbatimChar"/>
    <w:pPr>
      <w:bidi w:val="1"/>
    </w:pPr>
    <w:rPr>
      <w:rFonts w:ascii="Times New Roman" w:hAnsi="Times New Roman" w:cs="Simplified Arabic" w:eastAsia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تنفيذ تصويبات المناقشة التجريبية</dc:title>
  <dc:creator>كنان محمد قرحالي</dc:creator>
  <dc:language>ar-SY</dc:language>
  <cp:keywords/>
  <dcterms:created xsi:type="dcterms:W3CDTF">2026-10-27T20:23:33Z</dcterms:created>
  <dcterms:modified xsi:type="dcterms:W3CDTF">2026-10-27T20:23:33Z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