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bidi w:val="1"/>
      </w:pPr>
      <w:r>
        <w:rPr>
          <w:b/>
          <w:color w:val="1F3864"/>
          <w:sz w:val="32"/>
          <w:szCs w:val="32"/>
        </w:rPr>
        <w:t>الجامعة الافتراضية السورية</w:t>
      </w:r>
    </w:p>
    <w:p>
      <w:pPr>
        <w:jc w:val="center"/>
        <w:bidi w:val="1"/>
      </w:pPr>
    </w:p>
    <w:p>
      <w:pPr>
        <w:jc w:val="center"/>
        <w:bidi w:val="1"/>
      </w:pPr>
      <w:r>
        <w:rPr>
          <w:b w:val="0"/>
          <w:sz w:val="26"/>
          <w:szCs w:val="26"/>
        </w:rPr>
        <w:t>ماجستير التأهيل والتخصص في علوم الوب (MWS)</w:t>
      </w:r>
    </w:p>
    <w:p>
      <w:pPr>
        <w:jc w:val="center"/>
        <w:bidi w:val="1"/>
      </w:pPr>
    </w:p>
    <w:p>
      <w:pPr>
        <w:jc w:val="center"/>
        <w:bidi w:val="1"/>
      </w:pPr>
    </w:p>
    <w:p>
      <w:pPr>
        <w:jc w:val="center"/>
        <w:bidi w:val="1"/>
      </w:pPr>
      <w:r>
        <w:rPr>
          <w:b/>
          <w:color w:val="1F3864"/>
          <w:sz w:val="48"/>
          <w:szCs w:val="48"/>
        </w:rPr>
        <w:t>سجل تنفيذ تصويبات المناقشة التجريبية</w:t>
      </w:r>
    </w:p>
    <w:p>
      <w:pPr>
        <w:jc w:val="center"/>
        <w:bidi w:val="1"/>
      </w:pPr>
    </w:p>
    <w:p>
      <w:pPr>
        <w:jc w:val="center"/>
        <w:bidi w:val="1"/>
      </w:pPr>
      <w:r>
        <w:rPr>
          <w:b w:val="0"/>
          <w:color w:val="595959"/>
          <w:sz w:val="28"/>
          <w:szCs w:val="28"/>
        </w:rPr>
        <w:t>نظام توصية للتعليم الإلكتروني القائم على تحليل سلوك المستخدم</w:t>
      </w:r>
    </w:p>
    <w:p>
      <w:pPr>
        <w:jc w:val="center"/>
        <w:bidi w:val="1"/>
      </w:pPr>
    </w:p>
    <w:p>
      <w:pPr>
        <w:jc w:val="center"/>
        <w:bidi w:val="1"/>
      </w:pPr>
    </w:p>
    <w:p>
      <w:pPr>
        <w:jc w:val="center"/>
        <w:bidi w:val="1"/>
      </w:pPr>
      <w:r>
        <w:rPr>
          <w:b w:val="0"/>
          <w:sz w:val="28"/>
          <w:szCs w:val="28"/>
        </w:rPr>
        <w:t>إعداد الطالب: كنان محمد قرحالي</w:t>
      </w:r>
    </w:p>
    <w:p>
      <w:pPr>
        <w:jc w:val="center"/>
        <w:bidi w:val="1"/>
      </w:pPr>
      <w:r>
        <w:rPr>
          <w:b w:val="0"/>
          <w:sz w:val="28"/>
          <w:szCs w:val="28"/>
        </w:rPr>
        <w:t>إشراف: د. باسل الخطيب</w:t>
      </w:r>
    </w:p>
    <w:p>
      <w:pPr>
        <w:jc w:val="center"/>
        <w:bidi w:val="1"/>
      </w:pPr>
    </w:p>
    <w:p>
      <w:pPr>
        <w:jc w:val="center"/>
        <w:bidi w:val="1"/>
      </w:pPr>
      <w:r>
        <w:rPr>
          <w:b w:val="0"/>
          <w:sz w:val="28"/>
          <w:szCs w:val="28"/>
        </w:rPr>
        <w:t>2026</w:t>
      </w:r>
    </w:p>
    <w:p>
      <w:pPr>
        <w:jc w:val="center"/>
        <w:bidi w:val="1"/>
      </w:pPr>
      <w:r>
        <w:br w:type="page"/>
      </w:r>
    </w:p>
    <w:bookmarkStart w:id="28" w:name="سجل-تنفيذ-تصويبات-المناقشة-التجريبية"/>
    <w:p>
      <w:pPr>
        <w:pStyle w:val="Heading1"/>
        <w:bidi w:val="1"/>
      </w:pPr>
      <w:r>
        <w:rPr>
          <w:rtl/>
        </w:rPr>
        <w:t xml:space="preserve">سجل تنفيذ تصويبات المناقشة التجريبية</w:t>
      </w:r>
    </w:p>
    <w:p>
      <w:pPr>
        <w:bidi w:val="1"/>
      </w:pPr>
      <w:r>
        <w:rPr>
          <w:rtl/>
        </w:rPr>
        <w:t xml:space="preserve">يقابل هذا السجل كل بند في قرار اللجنة (</w:t>
      </w:r>
      <w:r>
        <w:rPr>
          <w:rStyle w:val="VerbatimChar"/>
          <w:rtl/>
        </w:rPr>
        <w:t xml:space="preserve">‎r3-alomar-verdict.md‎</w:t>
      </w:r>
      <w:r>
        <w:rPr>
          <w:rtl/>
        </w:rPr>
        <w:t xml:space="preserve">، القسم 5) بما نُفّذ وموضعه. والحالات ثلاث: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منجز.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ينتظر شخصاً:</w:t>
      </w:r>
      <w:r>
        <w:rPr>
          <w:rtl/>
        </w:rPr>
        <w:t xml:space="preserve"> </w:t>
      </w:r>
      <w:r>
        <w:rPr>
          <w:rtl/>
        </w:rPr>
        <w:t xml:space="preserve">لا يُنجزه إلا الطالب أو المشرف أو مشاركون حقيقيون، وأُعدّت أدواته.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محجوب:</w:t>
      </w:r>
      <w:r>
        <w:rPr>
          <w:rtl/>
        </w:rPr>
        <w:t xml:space="preserve"> </w:t>
      </w:r>
      <w:r>
        <w:rPr>
          <w:rtl/>
        </w:rPr>
        <w:t xml:space="preserve">لم يُنجز لسبب خارج العمل، ويُذكر السبب.</w:t>
      </w:r>
    </w:p>
    <w:bookmarkStart w:id="20" w:name="الأدوات"/>
    <w:p>
      <w:pPr>
        <w:pStyle w:val="Heading2"/>
        <w:bidi w:val="1"/>
      </w:pPr>
      <w:r>
        <w:rPr>
          <w:rtl/>
        </w:rPr>
        <w:t xml:space="preserve">الأدوات</w:t>
      </w:r>
    </w:p>
    <w:p>
      <w:pPr>
        <w:numPr>
          <w:ilvl w:val="0"/>
          <w:numId w:val="1001"/>
        </w:numPr>
        <w:pStyle w:val="Compact"/>
        <w:bidi w:val="1"/>
      </w:pPr>
      <w:r>
        <w:rPr>
          <w:rtl/>
          <w:bCs/>
          <w:b/>
        </w:rPr>
        <w:t xml:space="preserve">تصويبات النص:</w:t>
      </w:r>
      <w:r>
        <w:rPr>
          <w:rtl/>
        </w:rPr>
        <w:t xml:space="preserve"> </w:t>
      </w:r>
      <w:r>
        <w:rPr>
          <w:rtl/>
        </w:rPr>
        <w:t xml:space="preserve">يطبّقها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‎scripts/thesis/defense_corrections.py‎</w:t>
      </w:r>
      <w:r>
        <w:rPr>
          <w:rtl/>
        </w:rPr>
        <w:t xml:space="preserve"> </w:t>
      </w:r>
      <w:r>
        <w:rPr>
          <w:rtl/>
        </w:rPr>
        <w:t xml:space="preserve">مرة واحدة قبل إضافة المراجع الجديدة وإعادة الترقيم.</w:t>
      </w:r>
    </w:p>
    <w:p>
      <w:pPr>
        <w:numPr>
          <w:ilvl w:val="0"/>
          <w:numId w:val="1001"/>
        </w:numPr>
        <w:pStyle w:val="Compact"/>
        <w:bidi w:val="1"/>
      </w:pPr>
      <w:r>
        <w:rPr>
          <w:rtl/>
          <w:bCs/>
          <w:b/>
        </w:rPr>
        <w:t xml:space="preserve">الفصل 6:</w:t>
      </w:r>
      <w:r>
        <w:rPr>
          <w:rtl/>
        </w:rPr>
        <w:t xml:space="preserve"> </w:t>
      </w:r>
      <w:r>
        <w:rPr>
          <w:rtl/>
        </w:rPr>
        <w:t xml:space="preserve">فقرات «بعد النتيجة» الجديدة فيه تعيش في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‎scripts/thesis/build_ch6.py‎</w:t>
      </w:r>
      <w:r>
        <w:rPr>
          <w:rtl/>
        </w:rPr>
        <w:t xml:space="preserve">، ويُتحقق آلياً من بقاء النص المسجل حرفياً.</w:t>
      </w:r>
    </w:p>
    <w:p>
      <w:pPr>
        <w:numPr>
          <w:ilvl w:val="0"/>
          <w:numId w:val="1001"/>
        </w:numPr>
        <w:pStyle w:val="Compact"/>
        <w:bidi w:val="1"/>
      </w:pPr>
      <w:r>
        <w:rPr>
          <w:rtl/>
          <w:bCs/>
          <w:b/>
        </w:rPr>
        <w:t xml:space="preserve">الأرقام الجديدة:</w:t>
      </w:r>
      <w:r>
        <w:rPr>
          <w:rtl/>
        </w:rPr>
        <w:t xml:space="preserve"> </w:t>
      </w:r>
      <w:r>
        <w:rPr>
          <w:rtl/>
        </w:rPr>
        <w:t xml:space="preserve">كلها من ملفات النتائج:</w:t>
      </w:r>
    </w:p>
    <w:p>
      <w:pPr>
        <w:numPr>
          <w:ilvl w:val="1"/>
          <w:numId w:val="1002"/>
        </w:numPr>
        <w:pStyle w:val="Compact"/>
        <w:bidi w:val="1"/>
      </w:pPr>
      <w:r>
        <w:rPr>
          <w:rStyle w:val="VerbatimChar"/>
          <w:rtl/>
        </w:rPr>
        <w:t xml:space="preserve">‎results/posthoc/‎</w:t>
      </w:r>
      <w:r>
        <w:rPr>
          <w:rtl/>
        </w:rPr>
        <w:t xml:space="preserve"> </w:t>
      </w:r>
      <w:r>
        <w:rPr>
          <w:rtl/>
        </w:rPr>
        <w:t xml:space="preserve">(التحليلات اللاحقة و</w:t>
      </w:r>
      <w:r>
        <w:rPr>
          <w:rStyle w:val="VerbatimChar"/>
          <w:rtl/>
        </w:rPr>
        <w:t xml:space="preserve">‎defense_stats.json‎</w:t>
      </w:r>
      <w:r>
        <w:rPr>
          <w:rtl/>
        </w:rPr>
        <w:t xml:space="preserve">).</w:t>
      </w:r>
    </w:p>
    <w:p>
      <w:pPr>
        <w:numPr>
          <w:ilvl w:val="1"/>
          <w:numId w:val="1002"/>
        </w:numPr>
        <w:pStyle w:val="Compact"/>
        <w:bidi w:val="1"/>
      </w:pPr>
      <w:r>
        <w:rPr>
          <w:rStyle w:val="VerbatimChar"/>
          <w:rtl/>
        </w:rPr>
        <w:t xml:space="preserve">‎results/conf2014/‎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Style w:val="VerbatimChar"/>
          <w:rtl/>
        </w:rPr>
        <w:t xml:space="preserve">‎results/dev2013/‎</w:t>
      </w:r>
      <w:r>
        <w:rPr>
          <w:rtl/>
        </w:rPr>
        <w:t xml:space="preserve">.</w:t>
      </w:r>
    </w:p>
    <w:bookmarkEnd w:id="20"/>
    <w:bookmarkStart w:id="21" w:name="أ-شروط-قبل-المنح"/>
    <w:p>
      <w:pPr>
        <w:pStyle w:val="Heading2"/>
        <w:bidi w:val="1"/>
      </w:pPr>
      <w:r>
        <w:rPr>
          <w:rtl/>
        </w:rPr>
        <w:t xml:space="preserve">(أ) شروط قبل المنح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البند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الحالة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ما نُفّذ وأين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أ-1 الإفصاح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ينتظر الطالب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مسودة وقائعية في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‎docs/defense/disclosure-draft.md‎</w:t>
            </w:r>
            <w:r>
              <w:rPr>
                <w:rtl/>
              </w:rPr>
              <w:t xml:space="preserve">، ويكمل الطالب القسم الثاني ويوقّع. وأُعيدت صياغة نسبة المراجعات في المتن (أ-2)، وأُضيف القيد 25 في 6-9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أ-2 نسبة المراجعات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 بإعادة الصياغة، واعتماد المشرف ينتظره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نُفّذ الطريق الثاني (إعادة الصياغة بما وقع): 5-4-1 و5-4-2 و5-8-1 و5-9 والملحق ج (NFR-05) والملحق د و3-5-12 و7-2. ويبقى للمشرف الفعلي أن يعتمد قرارات التجميد إن شاء، فتُعدَّل العبارات حينها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أ-3 التقويم البشري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ينتظر الطالب مع مشاركين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بروتوكول كامل: المهام، ونموذج الموافقة، واستبانة SUS بالعربية، ونموذج معايير نيلسن، وطريقة التحليل (</w:t>
            </w:r>
            <w:r>
              <w:rPr>
                <w:rStyle w:val="VerbatimChar"/>
                <w:rtl/>
              </w:rPr>
              <w:t xml:space="preserve">‎docs/defense/human-evaluation-protocol.md‎</w:t>
            </w:r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أ-4 ثلاثة تحليلات لاحقة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Style w:val="VerbatimChar"/>
                <w:rtl/>
              </w:rPr>
              <w:t xml:space="preserve">‎scripts/posthoc/a4_*.py‎</w:t>
            </w:r>
            <w:r>
              <w:rPr>
                <w:rtl/>
              </w:rPr>
              <w:t xml:space="preserve">، والنتائج في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‎results/posthoc/‎</w:t>
            </w:r>
            <w:r>
              <w:rPr>
                <w:rtl/>
              </w:rPr>
              <w:t xml:space="preserve">، والملحق هـ (الجداول هـ-1 إلى هـ-3). وأعادت كل أداة إنتاج أرقام مقفلة بفرق ‎≤‎ 1e-6 قبل أن تكتب. وأُحيل إليها في 5-8-5 و5-8-7 و6-3 و6-5 و7-3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أ-5 مقارنة scikit-learn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محجوب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السكربت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‎scripts/posthoc/sklearn_equivalence.py‎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جاهز ومختبر بسبعة اختبارات (</w:t>
            </w:r>
            <w:r>
              <w:rPr>
                <w:rStyle w:val="VerbatimChar"/>
                <w:rtl/>
              </w:rPr>
              <w:t xml:space="preserve">‎scripts/posthoc/test_sklearn_equivalence.py‎</w:t>
            </w:r>
            <w:r>
              <w:rPr>
                <w:rtl/>
              </w:rPr>
              <w:t xml:space="preserve">). تشغيله يحتاج scikit-learn، وتثبيتها رُفض لأن سياسة الشبكة في بيئة العمل تحجب pypi.org. يُشغَّل على حاسوب فيه المكتبة، ثم يُعاد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‎python3 scripts/thesis/appendix_e.py‎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فيُدرج الجدول في هـ-5</w:t>
            </w:r>
          </w:p>
        </w:tc>
      </w:tr>
    </w:tbl>
    <w:bookmarkEnd w:id="21"/>
    <w:bookmarkStart w:id="22" w:name="ب-تصويبات-جوهرية"/>
    <w:p>
      <w:pPr>
        <w:pStyle w:val="Heading2"/>
        <w:bidi w:val="1"/>
      </w:pPr>
      <w:r>
        <w:rPr>
          <w:rtl/>
        </w:rPr>
        <w:t xml:space="preserve">(ب) تصويبات جوهرية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البند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الحالة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المواضع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ب-1 صياغة H1 بالحد 0.0204 (و0.043 على المقررات)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الملخصان، و1-6، و6-3 (بعد النتيجة)، و7-2، و7-3، و7-7، والعرض التقديمي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ب-2 وحدة العرض والارتباط والمقررات بجوار الحكم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3-5-5، و5-8-2، و6-6 و6-8-4 (بعد النتيجة)، والملخصان، و7-3، والملحق هـ (الجدول هـ-4)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ب-3 H3: لا تكافؤ في المعلومة، والميزانية، وبونفيروني، ونقاط القطع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3-4-4، و5-8-5، و6-5 و6-8-3 (بعد النتيجة)، و7-3، والملحق هـ (هـ-2 وهـ-4)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ب-4 رواية بناء الهجين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5-7-3 (القاعدة الابتدائية، وسبب الرفض، والأرضية، والتركيبتان، والتفاؤل)، و6-8-1 (بعد النتيجة)، و7-4 (الدرس الخامس)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ب-5 H2-أ: العائلة الموزونة والحداثة وتهديد صدق البناء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5-8-4، و6-4 و6-8-3 (بعد النتيجة)، و7-3، والملخصان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ب-6 أدبيات التوصية بالسلة التالية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مرجعان محققان: TIFU-KNN وLi وزملاؤه 2023. أُدرجا في 2-1 و2-2 والفجوة الثانية و2-7-3 و1-6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ب-7 قصر «القيمة العملية» على «مؤكَّدة بهامش»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6-2 (بعد النتيجة)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ب-8 FR-32 وNFR-14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ترقيم الصفحات وتصفية الخمول على الفوج كله في الخدمة مع اختبارات، فصار FR-32 منفّذاً فعلاً. NFR-14 «جزئي» مع بيان ما يُفحص آلياً. وأُضيف إلى الاختبار الطرفي فحص ترتيب التركيز والعرض 360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ب-9 الانحراف عن أدوات الخطة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منجز، والتبرير الشخصي ينتظر الطالب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1-5، و3-6-1، و6-9 (القيد 23). وقد يضيف الطالب، إن شاء، تبريراً يخصه غير قيد بيئة العمل</w:t>
            </w:r>
          </w:p>
        </w:tc>
      </w:tr>
    </w:tbl>
    <w:bookmarkEnd w:id="22"/>
    <w:bookmarkStart w:id="23" w:name="ج-تصويبات-ثانوية"/>
    <w:p>
      <w:pPr>
        <w:pStyle w:val="Heading2"/>
        <w:bidi w:val="1"/>
      </w:pPr>
      <w:r>
        <w:rPr>
          <w:rtl/>
        </w:rPr>
        <w:t xml:space="preserve">(ج) تصويبات ثانوية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البند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الحالة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المواضع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 مبرر δ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3-5-6، والملحق هـ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ج-2 فاصل σ ومدى MDE80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5-7-5، والملحق هـ (هـ-5)، و6-8-4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ج-3 تغطية bootstrap-t بتوزيعات ملتوية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3-5-5، والملحق هـ (هـ-6). النتيجة بين 0.92 و0.96، وليست «بين 0.95 و0.96» كما قيل في الجلسة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ج-4 فواصل الإنصاف مشروطة بالعروض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5-8-9، و6-10 (النص المملوء)، و6-8-4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ج-5 نص H3 في الفصل الأول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1-4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ج-6 عدد القيود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6-11: صارت خمسة وعشرين بعد إضافة خمسة قيود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ج-7 انحلال الهجين غير الشخصي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5-7-3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ج-8 المرجع الأقرب ونافذة الشعبية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1-2-3، و6-3 (بعد النتيجة)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ج-9 «سُدّت منهجياً»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6-7 (بعد النتيجة)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ج-10 احتمال القبول وعدم استقرار العناقيد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5-7-3، و6-9 (القيد 21، والقيد 13 القائم)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ج-11 الجمل القابلة للاستشهاد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بصيغة التعقيب المصحَّحة في 6-3 و7-3 والملحق هـ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ج-12 عدد النماذج في العرض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Style w:val="VerbatimChar"/>
                <w:rtl/>
              </w:rPr>
              <w:t xml:space="preserve">‎docs/defense/01-researcher-presentation.md‎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ج-13 الاعتماديات والوسم وREADME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 إلا الوسم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Style w:val="VerbatimChar"/>
                <w:rtl/>
              </w:rPr>
              <w:t xml:space="preserve">‎requirements.txt‎</w:t>
            </w:r>
            <w:r>
              <w:rPr>
                <w:rtl/>
              </w:rPr>
              <w:t xml:space="preserve">، و</w:t>
            </w:r>
            <w:r>
              <w:rPr>
                <w:rStyle w:val="VerbatimChar"/>
                <w:rtl/>
              </w:rPr>
              <w:t xml:space="preserve">‎/api/meta‎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Style w:val="VerbatimChar"/>
                <w:rtl/>
              </w:rPr>
              <w:t xml:space="preserve">‎runtime‎</w:t>
            </w:r>
            <w:r>
              <w:rPr>
                <w:rtl/>
              </w:rPr>
              <w:t xml:space="preserve">)، وREADME (130 و55 اختباراً). أما دفع الوسم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‎freeze-03‎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فرُفض في بيئة العمل، وأمراه في ملف التسليم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ج-14 «بصياغة احتمالية» ولون الحدود ونص المؤشر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3-7، والجدول 4-11، والواجهة (</w:t>
            </w:r>
            <w:r>
              <w:rPr>
                <w:rStyle w:val="VerbatimChar"/>
                <w:rtl/>
              </w:rPr>
              <w:t xml:space="preserve">‎instructor.ts‎</w:t>
            </w:r>
            <w:r>
              <w:rPr>
                <w:rtl/>
              </w:rPr>
              <w:t xml:space="preserve">، و</w:t>
            </w:r>
            <w:r>
              <w:rPr>
                <w:rStyle w:val="VerbatimChar"/>
                <w:rtl/>
              </w:rPr>
              <w:t xml:space="preserve">‎/api/meta‎</w:t>
            </w:r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ج-15 تفاصيل التشغيل إلى ملحق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سجل التشغيلات من 5-4-1 إلى الملحق هـ (هـ-6)، و3-6-1 (الخدمة والإصدارات)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ج-16 اختبار التسرب ولوحة المفاتيح والعرض 360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Style w:val="VerbatimChar"/>
                <w:rtl/>
              </w:rPr>
              <w:t xml:space="preserve">‎src/ml/tests/test_serving.py‎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Style w:val="VerbatimChar"/>
                <w:rtl/>
              </w:rPr>
              <w:t xml:space="preserve">‎src/backend/e2e/live-screenshots.js‎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ج-17 NFR-01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أُعيدت صياغته في 4-3 والملحق ج: الحد للأيام المسخَّنة، والطلب البارد لغيرها نحو عشر ثوانٍ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ج-18 المراجع الهندسية والأخلاقية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أربعة مراجع: ISO/IEC/IEEE 29148 وISO/IEC 25010 في 4-3-1، وDELICATE في 3-7 و6-10، وTintarev وMasthoff في 4-9-5</w:t>
            </w:r>
          </w:p>
        </w:tc>
      </w:tr>
    </w:tbl>
    <w:bookmarkEnd w:id="23"/>
    <w:bookmarkStart w:id="24" w:name="ما-كشفه-التنفيذ-ولم-تطلبه-اللجنة"/>
    <w:p>
      <w:pPr>
        <w:pStyle w:val="Heading2"/>
        <w:bidi w:val="1"/>
      </w:pPr>
      <w:r>
        <w:rPr>
          <w:rtl/>
        </w:rPr>
        <w:t xml:space="preserve">ما كشفه التنفيذ ولم تطلبه اللجنة</w:t>
      </w:r>
    </w:p>
    <w:p>
      <w:pPr>
        <w:bidi w:val="1"/>
      </w:pPr>
      <w:r>
        <w:rPr>
          <w:rtl/>
          <w:bCs/>
          <w:b/>
        </w:rPr>
        <w:t xml:space="preserve">تسرب في إحصاءات لوحة المدرّس.</w:t>
      </w:r>
      <w:r>
        <w:rPr>
          <w:rtl/>
        </w:rPr>
        <w:t xml:space="preserve"> </w:t>
      </w:r>
      <w:r>
        <w:rPr>
          <w:rtl/>
        </w:rPr>
        <w:t xml:space="preserve">كشف اختبار التسرب الموسَّع (ج-16) أن المتعلمين المسجَّلين بعد اليوم t كانوا يدخلون:</w:t>
      </w:r>
      <w:r>
        <w:rPr>
          <w:rtl/>
        </w:rPr>
        <w:t xml:space="preserve"> </w:t>
      </w:r>
      <w:r>
        <w:rPr>
          <w:rtl/>
        </w:rPr>
        <w:t xml:space="preserve">- عدد التسجيلات ووسيط الأيام النشطة في النظرة العامة.</w:t>
      </w:r>
      <w:r>
        <w:rPr>
          <w:rtl/>
        </w:rPr>
        <w:t xml:space="preserve"> </w:t>
      </w:r>
      <w:r>
        <w:rPr>
          <w:rtl/>
        </w:rPr>
        <w:t xml:space="preserve">- حزم درجة الخطر.</w:t>
      </w:r>
      <w:r>
        <w:rPr>
          <w:rtl/>
        </w:rPr>
        <w:t xml:space="preserve"> </w:t>
      </w:r>
      <w:r>
        <w:rPr>
          <w:rtl/>
        </w:rPr>
        <w:t xml:space="preserve">- الدرجات المعيارية لدرجة الخطر النسبية.</w:t>
      </w:r>
    </w:p>
    <w:p>
      <w:pPr>
        <w:bidi w:val="1"/>
      </w:pPr>
      <w:r>
        <w:rPr>
          <w:rtl/>
        </w:rPr>
        <w:t xml:space="preserve">أُصلح الخلل في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‎src/ml/serving.py‎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Style w:val="VerbatimChar"/>
          <w:rtl/>
        </w:rPr>
        <w:t xml:space="preserve">‎src/backend/services/instructor.py‎</w:t>
      </w:r>
      <w:r>
        <w:rPr>
          <w:rtl/>
        </w:rPr>
        <w:t xml:space="preserve">، وأُفصح عنه في 5-6-1 و6-8-1 (بعد النتيجة). ولم يمس أي رقم في الرسالة، لأن الواجهة لا يُشتق منها رقم تقييم. ولم يتغير العرض الظاهر في الصور (FFF_2013J)، وتغيّرت درجات متعلم إلى ثلاثة في كل من خمسة عروض تطوير.</w:t>
      </w:r>
    </w:p>
    <w:p>
      <w:pPr>
        <w:bidi w:val="1"/>
      </w:pPr>
      <w:r>
        <w:rPr>
          <w:rtl/>
          <w:bCs/>
          <w:b/>
        </w:rPr>
        <w:t xml:space="preserve">أثر إضافة المراجع على الترقيم.</w:t>
      </w:r>
      <w:r>
        <w:rPr>
          <w:rtl/>
        </w:rPr>
        <w:t xml:space="preserve"> </w:t>
      </w:r>
      <w:r>
        <w:rPr>
          <w:rtl/>
        </w:rPr>
        <w:t xml:space="preserve">صارت المراجع 70، وأُعيد ترقيمها بترتيب الظهور. فالمرجعان اللذان يذكرهما ملف التسليم صار رقماهما [22] (Kumar وآخرون) و[26] (Chandna وKumar).</w:t>
      </w:r>
    </w:p>
    <w:bookmarkEnd w:id="24"/>
    <w:bookmarkStart w:id="25" w:name="التحقق"/>
    <w:p>
      <w:pPr>
        <w:pStyle w:val="Heading2"/>
        <w:bidi w:val="1"/>
      </w:pPr>
      <w:r>
        <w:rPr>
          <w:rtl/>
        </w:rPr>
        <w:t xml:space="preserve">التحقق</w:t>
      </w:r>
    </w:p>
    <w:p>
      <w:pPr>
        <w:numPr>
          <w:ilvl w:val="0"/>
          <w:numId w:val="1003"/>
        </w:numPr>
        <w:pStyle w:val="Compact"/>
        <w:bidi w:val="1"/>
      </w:pPr>
      <w:r>
        <w:rPr>
          <w:rtl/>
          <w:bCs/>
          <w:b/>
        </w:rPr>
        <w:t xml:space="preserve">الاختبارات:</w:t>
      </w:r>
      <w:r>
        <w:rPr>
          <w:rtl/>
        </w:rPr>
        <w:t xml:space="preserve"> </w:t>
      </w:r>
      <w:r>
        <w:rPr>
          <w:rtl/>
        </w:rPr>
        <w:t xml:space="preserve">130 اختباراً في حزمة التجارب و55 في الخدمة نجحت كلها، ونجح فحص الأنواع في الواجهة.</w:t>
      </w:r>
    </w:p>
    <w:p>
      <w:pPr>
        <w:numPr>
          <w:ilvl w:val="0"/>
          <w:numId w:val="1003"/>
        </w:numPr>
        <w:pStyle w:val="Compact"/>
        <w:bidi w:val="1"/>
      </w:pPr>
      <w:r>
        <w:rPr>
          <w:rtl/>
          <w:bCs/>
          <w:b/>
        </w:rPr>
        <w:t xml:space="preserve">الفحص الطرفي الحي:</w:t>
      </w:r>
      <w:r>
        <w:rPr>
          <w:rtl/>
        </w:rPr>
        <w:t xml:space="preserve"> </w:t>
      </w:r>
      <w:r>
        <w:rPr>
          <w:rtl/>
        </w:rPr>
        <w:t xml:space="preserve">«LIVE OK» على ثلاثة عروض شاشة.</w:t>
      </w:r>
    </w:p>
    <w:p>
      <w:pPr>
        <w:numPr>
          <w:ilvl w:val="0"/>
          <w:numId w:val="1003"/>
        </w:numPr>
        <w:pStyle w:val="Compact"/>
        <w:bidi w:val="1"/>
      </w:pPr>
      <w:r>
        <w:rPr>
          <w:rtl/>
          <w:bCs/>
          <w:b/>
        </w:rPr>
        <w:t xml:space="preserve">الفصل 6:</w:t>
      </w:r>
      <w:r>
        <w:rPr>
          <w:rtl/>
        </w:rPr>
        <w:t xml:space="preserve"> </w:t>
      </w:r>
      <w:r>
        <w:rPr>
          <w:rtl/>
        </w:rPr>
        <w:t xml:space="preserve">النص المسجل مطابق لنسخة الوسم، وكل الفروق محذوفات مسجلة أو ملء أو فقرات «بعد النتيجة».</w:t>
      </w:r>
    </w:p>
    <w:p>
      <w:pPr>
        <w:numPr>
          <w:ilvl w:val="0"/>
          <w:numId w:val="1003"/>
        </w:numPr>
        <w:pStyle w:val="Compact"/>
        <w:bidi w:val="1"/>
      </w:pPr>
      <w:r>
        <w:rPr>
          <w:rtl/>
          <w:bCs/>
          <w:b/>
        </w:rPr>
        <w:t xml:space="preserve">خط الأطروحة:</w:t>
      </w:r>
      <w:r>
        <w:rPr>
          <w:rtl/>
        </w:rPr>
        <w:t xml:space="preserve"> </w:t>
      </w:r>
      <w:r>
        <w:rPr>
          <w:rtl/>
        </w:rPr>
        <w:t xml:space="preserve">إعادة تشغيله لا تغيّر شيئاً.</w:t>
      </w:r>
    </w:p>
    <w:p>
      <w:pPr>
        <w:numPr>
          <w:ilvl w:val="0"/>
          <w:numId w:val="1003"/>
        </w:numPr>
        <w:pStyle w:val="Compact"/>
        <w:bidi w:val="1"/>
      </w:pPr>
      <w:r>
        <w:rPr>
          <w:rtl/>
          <w:bCs/>
          <w:b/>
        </w:rPr>
        <w:t xml:space="preserve">الترقيم:</w:t>
      </w:r>
      <w:r>
        <w:rPr>
          <w:rtl/>
        </w:rPr>
        <w:t xml:space="preserve"> </w:t>
      </w:r>
      <w:r>
        <w:rPr>
          <w:rtl/>
        </w:rPr>
        <w:t xml:space="preserve">فحوص الترقيم ناجحة، والمراجع السبعون كلها مستشهد بها.</w:t>
      </w:r>
    </w:p>
    <w:bookmarkEnd w:id="25"/>
    <w:bookmarkStart w:id="26" w:name="تحقق-اللجنة-بعد-التنفيذ"/>
    <w:p>
      <w:pPr>
        <w:pStyle w:val="Heading2"/>
        <w:bidi w:val="1"/>
      </w:pPr>
      <w:r>
        <w:rPr>
          <w:rtl/>
        </w:rPr>
        <w:t xml:space="preserve">تحقق اللجنة بعد التنفيذ</w:t>
      </w:r>
    </w:p>
    <w:p>
      <w:pPr>
        <w:bidi w:val="1"/>
      </w:pPr>
      <w:r>
        <w:rPr>
          <w:rtl/>
        </w:rPr>
        <w:t xml:space="preserve">تحقق كل عضو من بنود مجاله في النص المصحَّح وملفات النتائج. وملفات تحققهم: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‎r4-alomar-verification.md‎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‎r4-alkanj-verification.md‎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‎r4-abutarab-verification.md‎</w:t>
      </w:r>
    </w:p>
    <w:p>
      <w:pPr>
        <w:bidi w:val="1"/>
      </w:pPr>
      <w:r>
        <w:rPr>
          <w:rtl/>
          <w:bCs/>
          <w:b/>
        </w:rPr>
        <w:t xml:space="preserve">نتيجة التحقق: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العضو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البنود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مستوفى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مستوفى جزئياً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رئيس اللجنة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د. الكنج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د. أبوطراب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12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الشق البرمجي كله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ج-14 وج-15</w:t>
            </w:r>
          </w:p>
        </w:tc>
      </w:tr>
    </w:tbl>
    <w:p>
      <w:pPr>
        <w:bidi w:val="1"/>
      </w:pPr>
      <w:r>
        <w:rPr>
          <w:rtl/>
        </w:rPr>
        <w:t xml:space="preserve">وأعاد د. الكنج حساب الأرقام الجديدة بشيفرته فطابقت، وشغّل د. أبوطراب الاختبارات والفحص الحي فنجحت.</w:t>
      </w:r>
    </w:p>
    <w:p>
      <w:pPr>
        <w:bidi w:val="1"/>
      </w:pPr>
      <w:r>
        <w:rPr>
          <w:rtl/>
          <w:bCs/>
          <w:b/>
        </w:rPr>
        <w:t xml:space="preserve">ما أُصلح بعد هذا التحقق: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وصف GRU-lite:</w:t>
      </w:r>
      <w:r>
        <w:rPr>
          <w:rtl/>
        </w:rPr>
        <w:t xml:space="preserve"> </w:t>
      </w:r>
      <w:r>
        <w:rPr>
          <w:rtl/>
        </w:rPr>
        <w:t xml:space="preserve">صار «لا يرى عند التنبؤ إلا تاريخ المتعلم» مع التنبيه إلى أنه يتعلم أوزانه من تسلسلات المتعلمين جميعاً. في 3-4-4 و5-8-5 و6-5 و6-8-3 و6-9 و7-3 والملحق هـ.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قراءة الحساسية اللاحقة لـH3:</w:t>
      </w:r>
      <w:r>
        <w:rPr>
          <w:rtl/>
        </w:rPr>
        <w:t xml:space="preserve"> </w:t>
      </w:r>
      <w:r>
        <w:rPr>
          <w:rtl/>
        </w:rPr>
        <w:t xml:space="preserve">خُففت إلى أن تقدّم الجيران يعود في معظمه، في هذه الحساسية الواحدة، إلى سلال الأقران الحديثة، ولا يحسم ذلك سؤال نوع النموذج. وسقطت عبارة «الفيصل … لا نوع النموذج».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التعارض في 6-5:</w:t>
      </w:r>
      <w:r>
        <w:rPr>
          <w:rtl/>
        </w:rPr>
        <w:t xml:space="preserve"> </w:t>
      </w:r>
      <w:r>
        <w:rPr>
          <w:rtl/>
        </w:rPr>
        <w:t xml:space="preserve">صارت الجملة «لم تتفوق الشبكة المتكررة على طريقة الجيران بصيغتها المسجلة».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أ-2:</w:t>
      </w:r>
      <w:r>
        <w:rPr>
          <w:rtl/>
        </w:rPr>
        <w:t xml:space="preserve"> </w:t>
      </w:r>
      <w:r>
        <w:rPr>
          <w:rtl/>
        </w:rPr>
        <w:t xml:space="preserve">صارت عبارة «تنفيذ قرار المشرف» في 5-4-2 «تنفيذ القرار المسجل».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ج-10:</w:t>
      </w:r>
      <w:r>
        <w:rPr>
          <w:rtl/>
        </w:rPr>
        <w:t xml:space="preserve"> </w:t>
      </w:r>
      <w:r>
        <w:rPr>
          <w:rtl/>
        </w:rPr>
        <w:t xml:space="preserve">رُبط عدم استقرار العناقيد بكون شعبية العنقود المكوّن الأثقل وزناً (القيد 21).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ج-4:</w:t>
      </w:r>
      <w:r>
        <w:rPr>
          <w:rtl/>
        </w:rPr>
        <w:t xml:space="preserve"> </w:t>
      </w:r>
      <w:r>
        <w:rPr>
          <w:rtl/>
        </w:rPr>
        <w:t xml:space="preserve">وصف إعادة السحب لفواصل الإنصاف: داخل كل عرض للتوصية، ومجمَّعين عبر العروض للمصنِّف.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ج-14:</w:t>
      </w:r>
      <w:r>
        <w:rPr>
          <w:rtl/>
        </w:rPr>
        <w:t xml:space="preserve"> </w:t>
      </w:r>
      <w:r>
        <w:rPr>
          <w:rtl/>
        </w:rPr>
        <w:t xml:space="preserve">حالة NFR-14 لم تعد تدّعي فحصاً آلياً للتباين، واللون في نثر 4-9-1 صار ‎#64748B.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ج-15:</w:t>
      </w:r>
      <w:r>
        <w:rPr>
          <w:rtl/>
        </w:rPr>
        <w:t xml:space="preserve"> </w:t>
      </w:r>
      <w:r>
        <w:rPr>
          <w:rtl/>
        </w:rPr>
        <w:t xml:space="preserve">نُقلت وقائع عطل التشغيل الجاف وسجل الوصول (ومنها مهلة الأداة وحقل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‎dirty‎</w:t>
      </w:r>
      <w:r>
        <w:rPr>
          <w:rtl/>
        </w:rPr>
        <w:t xml:space="preserve">) من 5-4-1 إلى الملحق هـ (هـ-6).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الشكلي:</w:t>
      </w:r>
      <w:r>
        <w:rPr>
          <w:rtl/>
        </w:rPr>
        <w:t xml:space="preserve"> </w:t>
      </w:r>
      <w:r>
        <w:rPr>
          <w:rtl/>
        </w:rPr>
        <w:t xml:space="preserve">- عنوانا الجدولين هـ-5 وهـ-6 بلا وسم «p غير مصحَّحة».</w:t>
      </w:r>
      <w:r>
        <w:rPr>
          <w:rtl/>
        </w:rPr>
        <w:t xml:space="preserve"> </w:t>
      </w:r>
      <w:r>
        <w:rPr>
          <w:rtl/>
        </w:rPr>
        <w:t xml:space="preserve">- صار وصف δ_AUC في 3-5-6 «بالقيمة نفسها».</w:t>
      </w:r>
      <w:r>
        <w:rPr>
          <w:rtl/>
        </w:rPr>
        <w:t xml:space="preserve"> </w:t>
      </w:r>
      <w:r>
        <w:rPr>
          <w:rtl/>
        </w:rPr>
        <w:t xml:space="preserve">- صُحّح عرض الباحث في المناقشة: رفضت القاعدة كل المرشحين، ثم أُضيف الجيران بالأرضية.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الشكر في المقدمات:</w:t>
      </w:r>
      <w:r>
        <w:rPr>
          <w:rtl/>
        </w:rPr>
        <w:t xml:space="preserve"> </w:t>
      </w:r>
      <w:r>
        <w:rPr>
          <w:rtl/>
        </w:rPr>
        <w:t xml:space="preserve">صار محايداً («على إشرافه»)، لأن وصف دور المشرف يكتبه الطالب بما وقع فعلاً.</w:t>
      </w:r>
    </w:p>
    <w:bookmarkEnd w:id="26"/>
    <w:bookmarkStart w:id="27" w:name="ما-بقي-قبل-المنح"/>
    <w:p>
      <w:pPr>
        <w:pStyle w:val="Heading2"/>
        <w:bidi w:val="1"/>
      </w:pPr>
      <w:r>
        <w:rPr>
          <w:rtl/>
        </w:rPr>
        <w:t xml:space="preserve">ما بقي قبل المنح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البند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من ينفّذه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أ-1 الإفصاح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الطالب يكمل المسودة ويوقّعها ويدرجها في المقدمات، ويعيد كتابة الشكر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أ-2 اعتماد قرارات التجميد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المشرف الفعلي د. باسل الخطيب (اختياري بعد إعادة الصياغة)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أ-3 التقويم البشري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الطالب مع ثلاثة مدرّسين وخمسة متعلمين، بالبروتوكول الجاهز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أ-5 مقارنة scikit-learn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الطالب على حاسوب فيه المكتبة، أو في هذه البيئة بعد السماح بـpypi.org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ب-9 التبرير الشخصي للانحراف عن الخطة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الطالب، إن كان له تبرير غير قيد البيئة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دفع الوسم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‎freeze-03‎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الطالب من نسخته، بالأمرين في ملف التسليم</w:t>
            </w:r>
          </w:p>
        </w:tc>
      </w:tr>
    </w:tbl>
    <w:p>
      <w:pPr>
        <w:bidi w:val="1"/>
      </w:pPr>
      <w:r>
        <w:rPr>
          <w:rtl/>
          <w:bCs/>
          <w:b/>
        </w:rPr>
        <w:t xml:space="preserve">التحقق الآلي من الشواهد.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‎scripts/defense_check_quotes.py‎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- اقتباسات الجولات 1–3 (166 اقتباساً) موجودة كلها في نسخة المستودع وقت المناقشة (</w:t>
      </w:r>
      <w:r>
        <w:rPr>
          <w:rStyle w:val="VerbatimChar"/>
          <w:rtl/>
        </w:rPr>
        <w:t xml:space="preserve">‎de53239‎</w:t>
      </w:r>
      <w:r>
        <w:rPr>
          <w:rtl/>
        </w:rPr>
        <w:t xml:space="preserve">). وسبعة منها لم تعد موجودة في النسخة الحالية، لأنها تقتبس عبارات صُحّحت.</w:t>
      </w:r>
      <w:r>
        <w:rPr>
          <w:rtl/>
        </w:rPr>
        <w:t xml:space="preserve"> </w:t>
      </w:r>
      <w:r>
        <w:rPr>
          <w:rtl/>
        </w:rPr>
        <w:t xml:space="preserve">- اقتباسات تحقق الجولة الرابعة (39 اقتباساً) موجودة كلها في النسخة الحالية.</w:t>
      </w:r>
    </w:p>
    <w:bookmarkEnd w:id="27"/>
    <w:bookmarkEnd w:id="28"/>
    <w:sectPr>
      <w:footerReference w:type="default" r:id="rId9"/>
      <w:pgSz w:w="11906" w:h="16838"/>
      <w:pgMar w:top="1417" w:bottom="1417" w:left="1417" w:right="1701"/>
      <w:bidi w:val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 w:val="1"/>
      <w:jc w:val="both"/>
      <w:spacing w:line="360" w:lineRule="auto" w:after="120"/>
    </w:pPr>
    <w:rPr>
      <w:rFonts w:ascii="Times New Roman" w:hAnsi="Times New Roman" w:cs="Simplified Arabic" w:eastAsia="Times New Roman"/>
      <w:sz w:val="28"/>
      <w:szCs w:val="28"/>
    </w:rPr>
  </w:style>
  <w:style w:styleId="BodyText" w:type="paragraph">
    <w:name w:val="Body Text"/>
    <w:basedOn w:val="Normal"/>
    <w:link w:val="BodyTextChar"/>
    <w:pPr>
      <w:spacing w:after="120" w:before="180" w:line="360" w:lineRule="auto"/>
      <w:bidi w:val="1"/>
      <w:jc w:val="both"/>
    </w:pPr>
    <w:qFormat/>
    <w:rPr>
      <w:rFonts w:ascii="Times New Roman" w:hAnsi="Times New Roman" w:cs="Simplified Arabic" w:eastAsia="Times New Roman"/>
      <w:sz w:val="28"/>
      <w:szCs w:val="28"/>
    </w:rPr>
  </w:style>
  <w:style w:customStyle="1" w:styleId="FirstParagraph" w:type="paragraph">
    <w:name w:val="First Paragraph"/>
    <w:basedOn w:val="BodyText"/>
    <w:next w:val="BodyText"/>
    <w:qFormat/>
    <w:pPr>
      <w:bidi w:val="1"/>
      <w:jc w:val="both"/>
      <w:spacing w:line="360" w:lineRule="auto" w:after="120"/>
    </w:pPr>
    <w:rPr>
      <w:rFonts w:ascii="Times New Roman" w:hAnsi="Times New Roman" w:cs="Simplified Arabic" w:eastAsia="Times New Roman"/>
      <w:sz w:val="28"/>
      <w:szCs w:val="28"/>
    </w:rPr>
  </w:style>
  <w:style w:customStyle="1" w:styleId="Compact" w:type="paragraph">
    <w:name w:val="Compact"/>
    <w:basedOn w:val="BodyText"/>
    <w:qFormat/>
    <w:pPr>
      <w:spacing w:after="36" w:before="36"/>
      <w:bidi w:val="1"/>
    </w:pPr>
    <w:rPr>
      <w:rFonts w:ascii="Times New Roman" w:hAnsi="Times New Roman" w:cs="Simplified Arabic" w:eastAsia="Times New Roman"/>
      <w:sz w:val="28"/>
      <w:szCs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  <w:bidi w:val="1"/>
    </w:pPr>
    <w:rPr>
      <w:rFonts w:ascii="Times New Roman" w:hAnsi="Times New Roman" w:cs="Simplified Arabic" w:eastAsia="Times New Roman"/>
      <w:b w:val="1"/>
      <w:bCs w:val="1"/>
      <w:color w:themeColor="accent1" w:themeShade="B5" w:val="1F3864"/>
      <w:sz w:val="52"/>
      <w:szCs w:val="5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  <w:bidi w:val="1"/>
    </w:pPr>
    <w:rPr>
      <w:rFonts w:ascii="Times New Roman" w:hAnsi="Times New Roman" w:cs="Simplified Arabic" w:eastAsia="Times New Roman"/>
      <w:sz w:val="32"/>
      <w:szCs w:val="32"/>
      <w:color w:val="1F3864"/>
      <w:b w:val="1"/>
      <w:bCs w:val="1"/>
    </w:rPr>
  </w:style>
  <w:style w:customStyle="1" w:styleId="Author" w:type="paragraph">
    <w:name w:val="Author"/>
    <w:next w:val="BodyText"/>
    <w:qFormat/>
    <w:pPr>
      <w:keepNext/>
      <w:keepLines/>
      <w:jc w:val="center"/>
      <w:bidi w:val="1"/>
    </w:pPr>
    <w:rPr>
      <w:rFonts w:ascii="Times New Roman" w:hAnsi="Times New Roman" w:cs="Simplified Arabic" w:eastAsia="Times New Roman"/>
    </w:rPr>
  </w:style>
  <w:style w:styleId="Date" w:type="paragraph">
    <w:name w:val="Date"/>
    <w:next w:val="BodyText"/>
    <w:qFormat/>
    <w:pPr>
      <w:keepNext/>
      <w:keepLines/>
      <w:jc w:val="center"/>
      <w:bidi w:val="1"/>
    </w:pPr>
    <w:rPr>
      <w:rFonts w:ascii="Times New Roman" w:hAnsi="Times New Roman" w:cs="Simplified Arabic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  <w:bidi w:val="1"/>
    </w:pPr>
    <w:rPr>
      <w:rFonts w:ascii="Times New Roman" w:hAnsi="Times New Roman" w:cs="Simplified Arabic" w:eastAsia="Times New Roman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 w:val="1"/>
    </w:pPr>
    <w:rPr>
      <w:rFonts w:ascii="Times New Roman" w:hAnsi="Times New Roman" w:cs="Simplified Arabic" w:eastAsia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>
      <w:bidi w:val="1"/>
    </w:pPr>
    <w:rPr>
      <w:rFonts w:ascii="Times New Roman" w:hAnsi="Times New Roman" w:cs="Simplified Arabic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 w:val="1"/>
    </w:pPr>
    <w:rPr>
      <w:rFonts w:ascii="Times New Roman" w:hAnsi="Times New Roman" w:cs="Simplified Arabic" w:eastAsia="Times New Roman"/>
      <w:b w:val="1"/>
      <w:bCs w:val="1"/>
      <w:color w:themeColor="accent1" w:val="1F3864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 w:val="1"/>
    </w:pPr>
    <w:rPr>
      <w:rFonts w:ascii="Times New Roman" w:hAnsi="Times New Roman" w:cs="Simplified Arabic" w:eastAsia="Times New Roman"/>
      <w:b w:val="1"/>
      <w:bCs w:val="1"/>
      <w:color w:themeColor="accent1" w:val="1F3864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 w:val="1"/>
    </w:pPr>
    <w:rPr>
      <w:rFonts w:ascii="Times New Roman" w:hAnsi="Times New Roman" w:cs="Simplified Arabic" w:eastAsia="Times New Roman"/>
      <w:b w:val="1"/>
      <w:bCs w:val="1"/>
      <w:color w:themeColor="accent1" w:val="1F3864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 w:val="1"/>
    </w:pPr>
    <w:rPr>
      <w:rFonts w:ascii="Times New Roman" w:hAnsi="Times New Roman" w:cs="Simplified Arabic" w:eastAsia="Times New Roman"/>
      <w:i/>
      <w:bCs w:val="1"/>
      <w:color w:themeColor="accent1" w:val="1F3864"/>
      <w:sz w:val="26"/>
      <w:szCs w:val="26"/>
      <w:b w:val="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 w:val="1"/>
    </w:pPr>
    <w:rPr>
      <w:rFonts w:ascii="Times New Roman" w:hAnsi="Times New Roman" w:cs="Simplified Arabic" w:eastAsia="Times New Roman"/>
      <w:iCs/>
      <w:color w:themeColor="accent1" w:val="1F3864"/>
      <w:sz w:val="24"/>
      <w:szCs w:val="24"/>
      <w:b w:val="1"/>
      <w:bCs w:val="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 w:val="1"/>
    </w:pPr>
    <w:rPr>
      <w:rFonts w:ascii="Times New Roman" w:hAnsi="Times New Roman" w:cs="Simplified Arabic" w:eastAsia="Times New Roman"/>
      <w:color w:themeColor="accent1" w:val="1F3864"/>
      <w:sz w:val="24"/>
      <w:szCs w:val="24"/>
      <w:b w:val="1"/>
      <w:bCs w:val="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 w:val="1"/>
    </w:pPr>
    <w:rPr>
      <w:rFonts w:ascii="Times New Roman" w:hAnsi="Times New Roman" w:cs="Simplified Arabic" w:eastAsia="Times New Roman"/>
      <w:color w:themeColor="accent1" w:val="1F3864"/>
      <w:sz w:val="24"/>
      <w:szCs w:val="24"/>
      <w:b w:val="1"/>
      <w:bCs w:val="1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 w:val="1"/>
    </w:pPr>
    <w:rPr>
      <w:rFonts w:ascii="Times New Roman" w:hAnsi="Times New Roman" w:cs="Simplified Arabic" w:eastAsia="Times New Roman"/>
      <w:color w:themeColor="accent1" w:val="1F3864"/>
      <w:sz w:val="24"/>
      <w:szCs w:val="24"/>
      <w:b w:val="1"/>
      <w:bCs w:val="1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 w:val="1"/>
    </w:pPr>
    <w:rPr>
      <w:rFonts w:ascii="Times New Roman" w:hAnsi="Times New Roman" w:cs="Simplified Arabic" w:eastAsia="Times New Roman"/>
      <w:color w:themeColor="accent1" w:val="1F3864"/>
      <w:sz w:val="24"/>
      <w:szCs w:val="24"/>
      <w:b w:val="1"/>
      <w:bCs w:val="1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 w:val="1"/>
    </w:pPr>
    <w:rPr>
      <w:rFonts w:ascii="Times New Roman" w:hAnsi="Times New Roman" w:cs="Simplified Arabic" w:eastAsia="Times New Roman"/>
      <w:sz w:val="28"/>
      <w:szCs w:val="28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 w:val="1"/>
    </w:pPr>
    <w:rPr>
      <w:rFonts w:ascii="Times New Roman" w:hAnsi="Times New Roman" w:cs="Simplified Arabic" w:eastAsia="Times New Roman"/>
    </w:rPr>
  </w:style>
  <w:style w:default="1" w:styleId="DefaultParagraphFont" w:type="character">
    <w:name w:val="Default Paragraph Font"/>
    <w:semiHidden/>
    <w:unhideWhenUsed/>
    <w:pPr>
      <w:bidi w:val="1"/>
    </w:pPr>
    <w:rPr>
      <w:rFonts w:ascii="Times New Roman" w:hAnsi="Times New Roman" w:cs="Simplified Arabic" w:eastAsia="Times New Roman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pPr>
      <w:bidi w:val="1"/>
    </w:pPr>
    <w:rPr>
      <w:rFonts w:ascii="Times New Roman" w:hAnsi="Times New Roman" w:cs="Simplified Arabic" w:eastAsia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 w:val="1"/>
    </w:pPr>
    <w:rPr>
      <w:rFonts w:ascii="Times New Roman" w:hAnsi="Times New Roman" w:cs="Simplified Arabic" w:eastAsia="Times New Roman"/>
      <w:b/>
    </w:rPr>
  </w:style>
  <w:style w:customStyle="1" w:styleId="Definition" w:type="paragraph">
    <w:name w:val="Definition"/>
    <w:basedOn w:val="Normal"/>
    <w:pPr>
      <w:bidi w:val="1"/>
    </w:pPr>
    <w:rPr>
      <w:rFonts w:ascii="Times New Roman" w:hAnsi="Times New Roman" w:cs="Simplified Arabic" w:eastAsia="Times New Roman"/>
    </w:rPr>
  </w:style>
  <w:style w:styleId="Caption" w:type="paragraph">
    <w:name w:val="Caption"/>
    <w:basedOn w:val="Normal"/>
    <w:link w:val="BodyTextChar"/>
    <w:pPr>
      <w:spacing w:after="120" w:before="0"/>
      <w:bidi w:val="1"/>
    </w:pPr>
    <w:rPr>
      <w:rFonts w:ascii="Times New Roman" w:hAnsi="Times New Roman" w:cs="Simplified Arabic" w:eastAsia="Times New Roman"/>
      <w:i/>
    </w:rPr>
  </w:style>
  <w:style w:customStyle="1" w:styleId="TableCaption" w:type="paragraph">
    <w:name w:val="Table Caption"/>
    <w:basedOn w:val="Caption"/>
    <w:pPr>
      <w:keepNext/>
      <w:bidi w:val="1"/>
    </w:pPr>
    <w:rPr>
      <w:rFonts w:ascii="Times New Roman" w:hAnsi="Times New Roman" w:cs="Simplified Arabic" w:eastAsia="Times New Roman"/>
    </w:rPr>
  </w:style>
  <w:style w:customStyle="1" w:styleId="ImageCaption" w:type="paragraph">
    <w:name w:val="Image Caption"/>
    <w:basedOn w:val="Caption"/>
    <w:pPr>
      <w:bidi w:val="1"/>
    </w:pPr>
    <w:rPr>
      <w:rFonts w:ascii="Times New Roman" w:hAnsi="Times New Roman" w:cs="Simplified Arabic" w:eastAsia="Times New Roman"/>
    </w:rPr>
  </w:style>
  <w:style w:customStyle="1" w:styleId="Figure" w:type="paragraph">
    <w:name w:val="Figure"/>
    <w:basedOn w:val="Normal"/>
    <w:pPr>
      <w:bidi w:val="1"/>
    </w:pPr>
    <w:rPr>
      <w:rFonts w:ascii="Times New Roman" w:hAnsi="Times New Roman" w:cs="Simplified Arabic" w:eastAsia="Times New Roman"/>
    </w:rPr>
  </w:style>
  <w:style w:customStyle="1" w:styleId="CaptionedFigure" w:type="paragraph">
    <w:name w:val="Captioned Figure"/>
    <w:basedOn w:val="Figure"/>
    <w:pPr>
      <w:keepNext/>
      <w:bidi w:val="1"/>
    </w:pPr>
    <w:rPr>
      <w:rFonts w:ascii="Times New Roman" w:hAnsi="Times New Roman" w:cs="Simplified Arabic" w:eastAsia="Times New Roman"/>
    </w:rPr>
  </w:style>
  <w:style w:customStyle="1" w:styleId="BodyTextChar" w:type="character">
    <w:name w:val="Body Text Char"/>
    <w:basedOn w:val="DefaultParagraphFont"/>
    <w:link w:val="BodyText"/>
    <w:pPr>
      <w:bidi w:val="1"/>
    </w:pPr>
    <w:rPr>
      <w:rFonts w:ascii="Times New Roman" w:hAnsi="Times New Roman" w:cs="Simplified Arabic" w:eastAsia="Times New Roman"/>
    </w:rPr>
  </w:style>
  <w:style w:customStyle="1" w:styleId="VerbatimChar" w:type="character">
    <w:name w:val="Verbatim Char"/>
    <w:basedOn w:val="BodyTextChar"/>
    <w:pPr>
      <w:bidi w:val="0"/>
      <w:jc w:val="left"/>
    </w:pPr>
    <w:rPr>
      <w:rFonts w:ascii="Consolas" w:hAnsi="Consolas" w:cs="Simplified Arabic" w:eastAsia="Consolas"/>
      <w:sz w:val="22"/>
    </w:rPr>
  </w:style>
  <w:style w:customStyle="1" w:styleId="SectionNumber" w:type="character">
    <w:name w:val="Section Number"/>
    <w:basedOn w:val="BodyTextChar"/>
    <w:pPr>
      <w:bidi w:val="1"/>
    </w:pPr>
    <w:rPr>
      <w:rFonts w:ascii="Times New Roman" w:hAnsi="Times New Roman" w:cs="Simplified Arabic" w:eastAsia="Times New Roman"/>
    </w:rPr>
  </w:style>
  <w:style w:styleId="FootnoteReference" w:type="character">
    <w:name w:val="Footnote Reference"/>
    <w:basedOn w:val="BodyTextChar"/>
    <w:pPr>
      <w:bidi w:val="1"/>
    </w:pPr>
    <w:rPr>
      <w:rFonts w:ascii="Times New Roman" w:hAnsi="Times New Roman" w:cs="Simplified Arabic" w:eastAsia="Times New Roman"/>
      <w:vertAlign w:val="superscript"/>
    </w:rPr>
  </w:style>
  <w:style w:styleId="Hyperlink" w:type="character">
    <w:name w:val="Hyperlink"/>
    <w:basedOn w:val="BodyTextChar"/>
    <w:pPr>
      <w:bidi w:val="1"/>
    </w:pPr>
    <w:rPr>
      <w:rFonts w:ascii="Times New Roman" w:hAnsi="Times New Roman" w:cs="Simplified Arabic" w:eastAsia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 w:val="1"/>
    </w:pPr>
    <w:rPr>
      <w:rFonts w:ascii="Times New Roman" w:hAnsi="Times New Roman" w:cs="Simplified Arabic" w:eastAsia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bidi w:val="0"/>
      <w:jc w:val="left"/>
    </w:pPr>
    <w:rPr>
      <w:rFonts w:ascii="Consolas" w:hAnsi="Consolas" w:cs="Simplified Arabic" w:eastAsia="Consolas"/>
    </w:rPr>
  </w:style>
  <w:style w:type="character" w:customStyle="1" w:styleId="KeywordTok">
    <w:name w:val="KeywordTok"/>
    <w:basedOn w:val="VerbatimChar"/>
    <w:pPr>
      <w:bidi w:val="1"/>
    </w:pPr>
    <w:rPr>
      <w:rFonts w:ascii="Times New Roman" w:hAnsi="Times New Roman" w:cs="Simplified Arabic" w:eastAsia="Times New Roman"/>
      <w:color w:val="007020"/>
      <w:b/>
    </w:rPr>
  </w:style>
  <w:style w:type="character" w:customStyle="1" w:styleId="DataTypeTok">
    <w:name w:val="DataTypeTok"/>
    <w:basedOn w:val="VerbatimChar"/>
    <w:pPr>
      <w:bidi w:val="1"/>
    </w:pPr>
    <w:rPr>
      <w:rFonts w:ascii="Times New Roman" w:hAnsi="Times New Roman" w:cs="Simplified Arabic" w:eastAsia="Times New Roman"/>
      <w:color w:val="902000"/>
    </w:rPr>
  </w:style>
  <w:style w:type="character" w:customStyle="1" w:styleId="DecValTok">
    <w:name w:val="DecValTok"/>
    <w:basedOn w:val="VerbatimChar"/>
    <w:pPr>
      <w:bidi w:val="1"/>
    </w:pPr>
    <w:rPr>
      <w:rFonts w:ascii="Times New Roman" w:hAnsi="Times New Roman" w:cs="Simplified Arabic" w:eastAsia="Times New Roman"/>
      <w:color w:val="40a070"/>
    </w:rPr>
  </w:style>
  <w:style w:type="character" w:customStyle="1" w:styleId="BaseNTok">
    <w:name w:val="BaseNTok"/>
    <w:basedOn w:val="VerbatimChar"/>
    <w:pPr>
      <w:bidi w:val="1"/>
    </w:pPr>
    <w:rPr>
      <w:rFonts w:ascii="Times New Roman" w:hAnsi="Times New Roman" w:cs="Simplified Arabic" w:eastAsia="Times New Roman"/>
      <w:color w:val="40a070"/>
    </w:rPr>
  </w:style>
  <w:style w:type="character" w:customStyle="1" w:styleId="FloatTok">
    <w:name w:val="FloatTok"/>
    <w:basedOn w:val="VerbatimChar"/>
    <w:pPr>
      <w:bidi w:val="1"/>
    </w:pPr>
    <w:rPr>
      <w:rFonts w:ascii="Times New Roman" w:hAnsi="Times New Roman" w:cs="Simplified Arabic" w:eastAsia="Times New Roman"/>
      <w:color w:val="40a070"/>
    </w:rPr>
  </w:style>
  <w:style w:type="character" w:customStyle="1" w:styleId="ConstantTok">
    <w:name w:val="ConstantTok"/>
    <w:basedOn w:val="VerbatimChar"/>
    <w:pPr>
      <w:bidi w:val="1"/>
    </w:pPr>
    <w:rPr>
      <w:rFonts w:ascii="Times New Roman" w:hAnsi="Times New Roman" w:cs="Simplified Arabic" w:eastAsia="Times New Roman"/>
      <w:color w:val="880000"/>
    </w:rPr>
  </w:style>
  <w:style w:type="character" w:customStyle="1" w:styleId="CharTok">
    <w:name w:val="CharTok"/>
    <w:basedOn w:val="VerbatimChar"/>
    <w:pPr>
      <w:bidi w:val="1"/>
    </w:pPr>
    <w:rPr>
      <w:rFonts w:ascii="Times New Roman" w:hAnsi="Times New Roman" w:cs="Simplified Arabic" w:eastAsia="Times New Roman"/>
      <w:color w:val="4070a0"/>
    </w:rPr>
  </w:style>
  <w:style w:type="character" w:customStyle="1" w:styleId="SpecialCharTok">
    <w:name w:val="SpecialCharTok"/>
    <w:basedOn w:val="VerbatimChar"/>
    <w:pPr>
      <w:bidi w:val="1"/>
    </w:pPr>
    <w:rPr>
      <w:rFonts w:ascii="Times New Roman" w:hAnsi="Times New Roman" w:cs="Simplified Arabic" w:eastAsia="Times New Roman"/>
      <w:color w:val="4070a0"/>
    </w:rPr>
  </w:style>
  <w:style w:type="character" w:customStyle="1" w:styleId="StringTok">
    <w:name w:val="StringTok"/>
    <w:basedOn w:val="VerbatimChar"/>
    <w:pPr>
      <w:bidi w:val="1"/>
    </w:pPr>
    <w:rPr>
      <w:rFonts w:ascii="Times New Roman" w:hAnsi="Times New Roman" w:cs="Simplified Arabic" w:eastAsia="Times New Roman"/>
      <w:color w:val="4070a0"/>
    </w:rPr>
  </w:style>
  <w:style w:type="character" w:customStyle="1" w:styleId="VerbatimStringTok">
    <w:name w:val="VerbatimStringTok"/>
    <w:basedOn w:val="VerbatimChar"/>
    <w:pPr>
      <w:bidi w:val="1"/>
    </w:pPr>
    <w:rPr>
      <w:rFonts w:ascii="Times New Roman" w:hAnsi="Times New Roman" w:cs="Simplified Arabic" w:eastAsia="Times New Roman"/>
      <w:color w:val="4070a0"/>
    </w:rPr>
  </w:style>
  <w:style w:type="character" w:customStyle="1" w:styleId="SpecialStringTok">
    <w:name w:val="SpecialStringTok"/>
    <w:basedOn w:val="VerbatimChar"/>
    <w:pPr>
      <w:bidi w:val="1"/>
    </w:pPr>
    <w:rPr>
      <w:rFonts w:ascii="Times New Roman" w:hAnsi="Times New Roman" w:cs="Simplified Arabic" w:eastAsia="Times New Roman"/>
      <w:color w:val="bb6688"/>
    </w:rPr>
  </w:style>
  <w:style w:type="character" w:customStyle="1" w:styleId="ImportTok">
    <w:name w:val="ImportTok"/>
    <w:basedOn w:val="VerbatimChar"/>
    <w:pPr>
      <w:bidi w:val="1"/>
    </w:pPr>
    <w:rPr>
      <w:rFonts w:ascii="Times New Roman" w:hAnsi="Times New Roman" w:cs="Simplified Arabic" w:eastAsia="Times New Roman"/>
      <w:color w:val="008000"/>
      <w:b/>
    </w:rPr>
  </w:style>
  <w:style w:type="character" w:customStyle="1" w:styleId="CommentTok">
    <w:name w:val="CommentTok"/>
    <w:basedOn w:val="VerbatimChar"/>
    <w:pPr>
      <w:bidi w:val="1"/>
    </w:pPr>
    <w:rPr>
      <w:rFonts w:ascii="Times New Roman" w:hAnsi="Times New Roman" w:cs="Simplified Arabic" w:eastAsia="Times New Roman"/>
      <w:color w:val="60a0b0"/>
      <w:i/>
    </w:rPr>
  </w:style>
  <w:style w:type="character" w:customStyle="1" w:styleId="DocumentationTok">
    <w:name w:val="DocumentationTok"/>
    <w:basedOn w:val="VerbatimChar"/>
    <w:pPr>
      <w:bidi w:val="1"/>
    </w:pPr>
    <w:rPr>
      <w:rFonts w:ascii="Times New Roman" w:hAnsi="Times New Roman" w:cs="Simplified Arabic" w:eastAsia="Times New Roman"/>
      <w:color w:val="ba2121"/>
      <w:i/>
    </w:rPr>
  </w:style>
  <w:style w:type="character" w:customStyle="1" w:styleId="AnnotationTok">
    <w:name w:val="AnnotationTok"/>
    <w:basedOn w:val="VerbatimChar"/>
    <w:pPr>
      <w:bidi w:val="1"/>
    </w:pPr>
    <w:rPr>
      <w:rFonts w:ascii="Times New Roman" w:hAnsi="Times New Roman" w:cs="Simplified Arabic" w:eastAsia="Times New Roman"/>
      <w:color w:val="60a0b0"/>
      <w:b/>
      <w:i/>
    </w:rPr>
  </w:style>
  <w:style w:type="character" w:customStyle="1" w:styleId="CommentVarTok">
    <w:name w:val="CommentVarTok"/>
    <w:basedOn w:val="VerbatimChar"/>
    <w:pPr>
      <w:bidi w:val="1"/>
    </w:pPr>
    <w:rPr>
      <w:rFonts w:ascii="Times New Roman" w:hAnsi="Times New Roman" w:cs="Simplified Arabic" w:eastAsia="Times New Roman"/>
      <w:color w:val="60a0b0"/>
      <w:b/>
      <w:i/>
    </w:rPr>
  </w:style>
  <w:style w:type="character" w:customStyle="1" w:styleId="OtherTok">
    <w:name w:val="OtherTok"/>
    <w:basedOn w:val="VerbatimChar"/>
    <w:pPr>
      <w:bidi w:val="1"/>
    </w:pPr>
    <w:rPr>
      <w:rFonts w:ascii="Times New Roman" w:hAnsi="Times New Roman" w:cs="Simplified Arabic" w:eastAsia="Times New Roman"/>
      <w:color w:val="007020"/>
    </w:rPr>
  </w:style>
  <w:style w:type="character" w:customStyle="1" w:styleId="FunctionTok">
    <w:name w:val="FunctionTok"/>
    <w:basedOn w:val="VerbatimChar"/>
    <w:pPr>
      <w:bidi w:val="1"/>
    </w:pPr>
    <w:rPr>
      <w:rFonts w:ascii="Times New Roman" w:hAnsi="Times New Roman" w:cs="Simplified Arabic" w:eastAsia="Times New Roman"/>
      <w:color w:val="06287e"/>
    </w:rPr>
  </w:style>
  <w:style w:type="character" w:customStyle="1" w:styleId="VariableTok">
    <w:name w:val="VariableTok"/>
    <w:basedOn w:val="VerbatimChar"/>
    <w:pPr>
      <w:bidi w:val="1"/>
    </w:pPr>
    <w:rPr>
      <w:rFonts w:ascii="Times New Roman" w:hAnsi="Times New Roman" w:cs="Simplified Arabic" w:eastAsia="Times New Roman"/>
      <w:color w:val="19177c"/>
    </w:rPr>
  </w:style>
  <w:style w:type="character" w:customStyle="1" w:styleId="ControlFlowTok">
    <w:name w:val="ControlFlowTok"/>
    <w:basedOn w:val="VerbatimChar"/>
    <w:pPr>
      <w:bidi w:val="1"/>
    </w:pPr>
    <w:rPr>
      <w:rFonts w:ascii="Times New Roman" w:hAnsi="Times New Roman" w:cs="Simplified Arabic" w:eastAsia="Times New Roman"/>
      <w:color w:val="007020"/>
      <w:b/>
    </w:rPr>
  </w:style>
  <w:style w:type="character" w:customStyle="1" w:styleId="OperatorTok">
    <w:name w:val="OperatorTok"/>
    <w:basedOn w:val="VerbatimChar"/>
    <w:pPr>
      <w:bidi w:val="1"/>
    </w:pPr>
    <w:rPr>
      <w:rFonts w:ascii="Times New Roman" w:hAnsi="Times New Roman" w:cs="Simplified Arabic" w:eastAsia="Times New Roman"/>
      <w:color w:val="666666"/>
    </w:rPr>
  </w:style>
  <w:style w:type="character" w:customStyle="1" w:styleId="BuiltInTok">
    <w:name w:val="BuiltInTok"/>
    <w:basedOn w:val="VerbatimChar"/>
    <w:pPr>
      <w:bidi w:val="1"/>
    </w:pPr>
    <w:rPr>
      <w:rFonts w:ascii="Times New Roman" w:hAnsi="Times New Roman" w:cs="Simplified Arabic" w:eastAsia="Times New Roman"/>
      <w:color w:val="008000"/>
    </w:rPr>
  </w:style>
  <w:style w:type="character" w:customStyle="1" w:styleId="ExtensionTok">
    <w:name w:val="ExtensionTok"/>
    <w:basedOn w:val="VerbatimChar"/>
    <w:pPr>
      <w:bidi w:val="1"/>
    </w:pPr>
    <w:rPr>
      <w:rFonts w:ascii="Times New Roman" w:hAnsi="Times New Roman" w:cs="Simplified Arabic" w:eastAsia="Times New Roman"/>
    </w:rPr>
  </w:style>
  <w:style w:type="character" w:customStyle="1" w:styleId="PreprocessorTok">
    <w:name w:val="PreprocessorTok"/>
    <w:basedOn w:val="VerbatimChar"/>
    <w:pPr>
      <w:bidi w:val="1"/>
    </w:pPr>
    <w:rPr>
      <w:rFonts w:ascii="Times New Roman" w:hAnsi="Times New Roman" w:cs="Simplified Arabic" w:eastAsia="Times New Roman"/>
      <w:color w:val="bc7a00"/>
    </w:rPr>
  </w:style>
  <w:style w:type="character" w:customStyle="1" w:styleId="AttributeTok">
    <w:name w:val="AttributeTok"/>
    <w:basedOn w:val="VerbatimChar"/>
    <w:pPr>
      <w:bidi w:val="1"/>
    </w:pPr>
    <w:rPr>
      <w:rFonts w:ascii="Times New Roman" w:hAnsi="Times New Roman" w:cs="Simplified Arabic" w:eastAsia="Times New Roman"/>
      <w:color w:val="7d9029"/>
    </w:rPr>
  </w:style>
  <w:style w:type="character" w:customStyle="1" w:styleId="RegionMarkerTok">
    <w:name w:val="RegionMarkerTok"/>
    <w:basedOn w:val="VerbatimChar"/>
    <w:pPr>
      <w:bidi w:val="1"/>
    </w:pPr>
    <w:rPr>
      <w:rFonts w:ascii="Times New Roman" w:hAnsi="Times New Roman" w:cs="Simplified Arabic" w:eastAsia="Times New Roman"/>
    </w:rPr>
  </w:style>
  <w:style w:type="character" w:customStyle="1" w:styleId="InformationTok">
    <w:name w:val="InformationTok"/>
    <w:basedOn w:val="VerbatimChar"/>
    <w:pPr>
      <w:bidi w:val="1"/>
    </w:pPr>
    <w:rPr>
      <w:rFonts w:ascii="Times New Roman" w:hAnsi="Times New Roman" w:cs="Simplified Arabic" w:eastAsia="Times New Roman"/>
      <w:color w:val="60a0b0"/>
      <w:b/>
      <w:i/>
    </w:rPr>
  </w:style>
  <w:style w:type="character" w:customStyle="1" w:styleId="WarningTok">
    <w:name w:val="WarningTok"/>
    <w:basedOn w:val="VerbatimChar"/>
    <w:pPr>
      <w:bidi w:val="1"/>
    </w:pPr>
    <w:rPr>
      <w:rFonts w:ascii="Times New Roman" w:hAnsi="Times New Roman" w:cs="Simplified Arabic" w:eastAsia="Times New Roman"/>
      <w:color w:val="60a0b0"/>
      <w:b/>
      <w:i/>
    </w:rPr>
  </w:style>
  <w:style w:type="character" w:customStyle="1" w:styleId="AlertTok">
    <w:name w:val="AlertTok"/>
    <w:basedOn w:val="VerbatimChar"/>
    <w:pPr>
      <w:bidi w:val="1"/>
    </w:pPr>
    <w:rPr>
      <w:rFonts w:ascii="Times New Roman" w:hAnsi="Times New Roman" w:cs="Simplified Arabic" w:eastAsia="Times New Roman"/>
      <w:color w:val="ff0000"/>
      <w:b/>
    </w:rPr>
  </w:style>
  <w:style w:type="character" w:customStyle="1" w:styleId="ErrorTok">
    <w:name w:val="ErrorTok"/>
    <w:basedOn w:val="VerbatimChar"/>
    <w:pPr>
      <w:bidi w:val="1"/>
    </w:pPr>
    <w:rPr>
      <w:rFonts w:ascii="Times New Roman" w:hAnsi="Times New Roman" w:cs="Simplified Arabic" w:eastAsia="Times New Roman"/>
      <w:color w:val="ff0000"/>
      <w:b/>
    </w:rPr>
  </w:style>
  <w:style w:type="character" w:customStyle="1" w:styleId="NormalTok">
    <w:name w:val="NormalTok"/>
    <w:basedOn w:val="VerbatimChar"/>
    <w:pPr>
      <w:bidi w:val="1"/>
    </w:pPr>
    <w:rPr>
      <w:rFonts w:ascii="Times New Roman" w:hAnsi="Times New Roman" w:cs="Simplified Arabic" w:eastAsia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سجل تنفيذ تصويبات المناقشة التجريبية</dc:title>
  <dc:creator>كنان محمد قرحالي</dc:creator>
  <dc:language>ar-SY</dc:language>
  <cp:keywords/>
  <dcterms:created xsi:type="dcterms:W3CDTF">2026-10-27T20:32:31Z</dcterms:created>
  <dcterms:modified xsi:type="dcterms:W3CDTF">2026-10-27T20:32:31Z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