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ApiLinker: A Declarative Framework for Reproducible REST API Integration in Research Computing</w:t>
      </w:r>
    </w:p>
    <w:p>
      <w:pPr>
        <w:pStyle w:val="Date"/>
      </w:pPr>
      <w:r>
        <w:t xml:space="preserve">04 December 2025</w:t>
      </w:r>
    </w:p>
    <w:bookmarkStart w:id="9" w:name="abstract"/>
    <w:p>
      <w:pPr>
        <w:pStyle w:val="Heading1"/>
      </w:pPr>
      <w:r>
        <w:t xml:space="preserve">Abstract</w:t>
      </w:r>
    </w:p>
    <w:p>
      <w:pPr>
        <w:pStyle w:val="FirstParagraph"/>
      </w:pPr>
      <w:r>
        <w:t xml:space="preserve">The proliferation of web-based Application Programming Interfaces (APIs) has fundamentally transformed computational research, enabling access to vast repositories of scientific data, literature databases, and computational services. However, the heterogeneity of REST API implementations—manifesting in divergent authentication protocols, pagination schemes, data representations, and rate-limiting policies—imposes substantial engineering overhead on researchers and threatens the reproducibility of data acquisition pipelines. This paper presents ApiLinker, an open-source Python framework that addresses these challenges through a declarative, configuration-driven approach to API integration. The framework abstracts common integration concerns into reusable components: connectors for transport and protocol handling, mappers for schema transformation with composable value-level transformers, authentication managers supporting contemporary security standards, and schedulers for automated synchronisation. ApiLinker incorporates production-grade resilience mechanisms including circuit breakers, exponential backoff with jitter, and dead-letter queues to maintain operational stability under real-world network volatility. The architecture supports domain specialisation through a plugin system, with built-in scientific connectors for NCBI, arXiv, CrossRef, Semantic Scholar, PubChem, and ORCID that facilitate reproducible research workflows. Enterprise-grade features include secret management integrations with HashiCorp Vault, AWS Secrets Manager, Azure Key Vault, and Google Cloud Secret Manager, alongside OpenTelemetry-based observability for production monitoring. We evaluate ApiLinker through representative benchmark scenarios spanning bibliographic enrichment, literature sampling, and cross-platform migration, demonstrating throughput of 18-45 records per second under nominal conditions with greater than 96% success rates under fault injection. The declarative configuration model enables version-controlled, auditable data pipelines that align with FAIR principles and open science practices. ApiLinker is released under the MIT license with comprehensive documentation, achieving 82% test coverage across 250 test cases, and is available via PyPI and GitHub.</w:t>
      </w:r>
    </w:p>
    <w:p>
      <w:pPr>
        <w:pStyle w:val="BodyText"/>
      </w:pPr>
      <w:r>
        <w:rPr>
          <w:b/>
          <w:bCs/>
        </w:rPr>
        <w:t xml:space="preserve">Keywords</w:t>
      </w:r>
      <w:r>
        <w:t xml:space="preserve">: REST API, research software engineering, data integration, reproducibility, FAIR principles, scientific workflows, Python, declarative configuration</w:t>
      </w:r>
    </w:p>
    <w:bookmarkEnd w:id="9"/>
    <w:bookmarkStart w:id="10" w:name="statement-of-need"/>
    <w:p>
      <w:pPr>
        <w:pStyle w:val="Heading1"/>
      </w:pPr>
      <w:r>
        <w:t xml:space="preserve">1. Statement of Need</w:t>
      </w:r>
    </w:p>
    <w:p>
      <w:pPr>
        <w:pStyle w:val="FirstParagraph"/>
      </w:pPr>
      <w:r>
        <w:t xml:space="preserve">Modern computational research is characterised by increasing dependence on distributed web services for data acquisition, enrichment, and dissemination. Researchers routinely integrate data from bibliographic databases such as PubMed and arXiv, chemical compound repositories like PubChem, genomic sequence archives including GenBank, and collaborative platforms such as GitHub and ORCID. Each service exposes application programming interfaces with distinct design philosophies, authentication requirements, and operational constraints. This heterogeneity creates a significant methodological challenge: researchers must either develop bespoke integration code for each service or rely on service-specific client libraries that rarely interoperate.</w:t>
      </w:r>
    </w:p>
    <w:p>
      <w:pPr>
        <w:pStyle w:val="BodyText"/>
      </w:pPr>
      <w:r>
        <w:t xml:space="preserve">The consequences of this fragmentation are substantial. Ad hoc integration scripts are typically optimised for immediate functionality rather than long-term maintainability, lacking the error handling, retry logic, and configuration management necessary for reliable operation. Such scripts resist peer review, complicate replication efforts, and often fail silently when upstream services modify their interfaces. When integrations span multiple services—a common requirement for interdisciplinary research—the complexity compounds, leading to brittle pipelines that require continuous manual intervention.</w:t>
      </w:r>
    </w:p>
    <w:p>
      <w:pPr>
        <w:pStyle w:val="BodyText"/>
      </w:pPr>
      <w:r>
        <w:t xml:space="preserve">Existing integration platforms offer partial solutions but introduce their own limitations. Workflow orchestrators like Apache Airflow</w:t>
      </w:r>
      <w:r>
        <w:t xml:space="preserve"> </w:t>
      </w:r>
      <w:r>
        <w:t xml:space="preserve">(</w:t>
      </w:r>
      <w:r>
        <w:t xml:space="preserve">“Apache Airflow,”</w:t>
      </w:r>
      <w:r>
        <w:t xml:space="preserve"> </w:t>
      </w:r>
      <w:r>
        <w:t xml:space="preserve">n.d.)</w:t>
      </w:r>
      <w:r>
        <w:t xml:space="preserve"> </w:t>
      </w:r>
      <w:r>
        <w:t xml:space="preserve">provide sophisticated scheduling and monitoring but require substantial infrastructure overhead and assume Python programming expertise for defining directed acyclic graphs (DAGs). Visual automation tools such as Zapier</w:t>
      </w:r>
      <w:r>
        <w:t xml:space="preserve"> </w:t>
      </w:r>
      <w:r>
        <w:t xml:space="preserve">(</w:t>
      </w:r>
      <w:r>
        <w:t xml:space="preserve">“Zapier,”</w:t>
      </w:r>
      <w:r>
        <w:t xml:space="preserve"> </w:t>
      </w:r>
      <w:r>
        <w:t xml:space="preserve">n.d.)</w:t>
      </w:r>
      <w:r>
        <w:t xml:space="preserve"> </w:t>
      </w:r>
      <w:r>
        <w:t xml:space="preserve">and n8n</w:t>
      </w:r>
      <w:r>
        <w:t xml:space="preserve"> </w:t>
      </w:r>
      <w:r>
        <w:t xml:space="preserve">(</w:t>
      </w:r>
      <w:r>
        <w:t xml:space="preserve">“N8n - Workflow Automation,”</w:t>
      </w:r>
      <w:r>
        <w:t xml:space="preserve"> </w:t>
      </w:r>
      <w:r>
        <w:t xml:space="preserve">n.d.)</w:t>
      </w:r>
      <w:r>
        <w:t xml:space="preserve"> </w:t>
      </w:r>
      <w:r>
        <w:t xml:space="preserve">democratise integration for non-technical users but constrain transformation expressiveness and lack the configuration-as-code semantics essential for reproducible research. Enterprise integration platforms like MuleSoft offer comprehensive feature sets but entail licensing costs and operational complexity inappropriate for academic contexts.</w:t>
      </w:r>
    </w:p>
    <w:p>
      <w:pPr>
        <w:pStyle w:val="BodyText"/>
      </w:pPr>
      <w:r>
        <w:t xml:space="preserve">ApiLinker addresses this methodological gap by providing a lightweight, Python-native framework specifically designed for research computing contexts. The framework embodies several design principles aligned with research software engineering best practices: (i) configurations are expressed declaratively in YAML or JSON, enabling version control and peer review of integration logic; (ii) the mapping model supports complex structural transformations through composable, deterministic operations; (iii) resilience mechanisms are explicit in configuration rather than hidden in implementation; and (iv) the plugin architecture permits domain-specific extensions without modifying core components. This combination enables researchers to construct robust, reproducible data pipelines that can be archived alongside datasets and analysis code, supporting the FAIR principles of findability, accessibility, interoperability, and reusability</w:t>
      </w:r>
      <w:r>
        <w:t xml:space="preserve"> </w:t>
      </w:r>
      <w:r>
        <w:t xml:space="preserve">(Wilkinson et al. 2016)</w:t>
      </w:r>
      <w:r>
        <w:t xml:space="preserve">.</w:t>
      </w:r>
    </w:p>
    <w:bookmarkEnd w:id="10"/>
    <w:bookmarkStart w:id="14" w:name="background-and-related-work"/>
    <w:p>
      <w:pPr>
        <w:pStyle w:val="Heading1"/>
      </w:pPr>
      <w:r>
        <w:t xml:space="preserve">2. Background and Related Work</w:t>
      </w:r>
    </w:p>
    <w:bookmarkStart w:id="11" w:name="the-api-integration-challenge"/>
    <w:p>
      <w:pPr>
        <w:pStyle w:val="Heading2"/>
      </w:pPr>
      <w:r>
        <w:t xml:space="preserve">2.1 The API Integration Challenge</w:t>
      </w:r>
    </w:p>
    <w:p>
      <w:pPr>
        <w:pStyle w:val="FirstParagraph"/>
      </w:pPr>
      <w:r>
        <w:t xml:space="preserve">The architectural shift toward microservices has dramatically increased inter-service communication complexity in modern software systems</w:t>
      </w:r>
      <w:r>
        <w:t xml:space="preserve"> </w:t>
      </w:r>
      <w:r>
        <w:t xml:space="preserve">(Fowler 2014)</w:t>
      </w:r>
      <w:r>
        <w:t xml:space="preserve">. REST (Representational State Transfer) has emerged as the dominant paradigm for web API design, yet implementations exhibit substantial variation in design choices. Authentication mechanisms range from simple API keys transmitted as headers or query parameters to sophisticated OAuth 2.0 flows with token refresh, proof key for code exchange (PKCE), and device authorization grants. Pagination strategies include cursor-based navigation, page/size parameterisation, and hypermedia-driven link traversal. Response formats vary from flat key-value structures to deeply nested hierarchies with polymorphic elements.</w:t>
      </w:r>
    </w:p>
    <w:p>
      <w:pPr>
        <w:pStyle w:val="BodyText"/>
      </w:pPr>
      <w:r>
        <w:t xml:space="preserve">For researchers, these variations manifest as engineering problems that divert effort from scientific objectives. Studies in bioinformatics</w:t>
      </w:r>
      <w:r>
        <w:t xml:space="preserve"> </w:t>
      </w:r>
      <w:r>
        <w:t xml:space="preserve">(Ison et al. 2013)</w:t>
      </w:r>
      <w:r>
        <w:t xml:space="preserve">, environmental science</w:t>
      </w:r>
      <w:r>
        <w:t xml:space="preserve"> </w:t>
      </w:r>
      <w:r>
        <w:t xml:space="preserve">(Vitolo et al. 2015)</w:t>
      </w:r>
      <w:r>
        <w:t xml:space="preserve">, and computational social science</w:t>
      </w:r>
      <w:r>
        <w:t xml:space="preserve"> </w:t>
      </w:r>
      <w:r>
        <w:t xml:space="preserve">(Lomborg and Bechmann 2014)</w:t>
      </w:r>
      <w:r>
        <w:t xml:space="preserve"> </w:t>
      </w:r>
      <w:r>
        <w:t xml:space="preserve">document the substantial effort required to implement reliable API integrations, often noting that integration code constitutes a significant fraction of total development effort. The resulting scripts are typically single-purpose, poorly documented, and resistant to modification when upstream services evolve.</w:t>
      </w:r>
    </w:p>
    <w:bookmarkEnd w:id="11"/>
    <w:bookmarkStart w:id="12" w:name="existing-solutions-and-their-limitations"/>
    <w:p>
      <w:pPr>
        <w:pStyle w:val="Heading2"/>
      </w:pPr>
      <w:r>
        <w:t xml:space="preserve">2.2 Existing Solutions and Their Limitations</w:t>
      </w:r>
    </w:p>
    <w:p>
      <w:pPr>
        <w:pStyle w:val="FirstParagraph"/>
      </w:pPr>
      <w:r>
        <w:t xml:space="preserve">The integration landscape encompasses several categories of tools, each optimised for different user populations and use cases.</w:t>
      </w:r>
    </w:p>
    <w:p>
      <w:pPr>
        <w:pStyle w:val="BodyText"/>
      </w:pPr>
      <w:r>
        <w:rPr>
          <w:b/>
          <w:bCs/>
        </w:rPr>
        <w:t xml:space="preserve">Workflow Orchestration Platforms.</w:t>
      </w:r>
      <w:r>
        <w:t xml:space="preserve"> </w:t>
      </w:r>
      <w:r>
        <w:t xml:space="preserve">Apache Airflow</w:t>
      </w:r>
      <w:r>
        <w:t xml:space="preserve"> </w:t>
      </w:r>
      <w:r>
        <w:t xml:space="preserve">(</w:t>
      </w:r>
      <w:r>
        <w:t xml:space="preserve">“Apache Airflow,”</w:t>
      </w:r>
      <w:r>
        <w:t xml:space="preserve"> </w:t>
      </w:r>
      <w:r>
        <w:t xml:space="preserve">n.d.)</w:t>
      </w:r>
      <w:r>
        <w:t xml:space="preserve"> </w:t>
      </w:r>
      <w:r>
        <w:t xml:space="preserve">represents the canonical solution for complex data pipeline orchestration, providing DAG-based workflow definition, sophisticated scheduling, and comprehensive monitoring. However, Airflow’s architecture assumes cluster-scale deployment with external database dependencies, imposing infrastructure overhead disproportionate to many research integration tasks. The Python-based DAG definition model, while powerful, conflates workflow structure with implementation details, complicating configuration-as-artefact approaches to reproducibility.</w:t>
      </w:r>
    </w:p>
    <w:p>
      <w:pPr>
        <w:pStyle w:val="BodyText"/>
      </w:pPr>
      <w:r>
        <w:rPr>
          <w:b/>
          <w:bCs/>
        </w:rPr>
        <w:t xml:space="preserve">Low-Code Automation Tools.</w:t>
      </w:r>
      <w:r>
        <w:t xml:space="preserve"> </w:t>
      </w:r>
      <w:r>
        <w:t xml:space="preserve">Platforms such as Zapier</w:t>
      </w:r>
      <w:r>
        <w:t xml:space="preserve"> </w:t>
      </w:r>
      <w:r>
        <w:t xml:space="preserve">(</w:t>
      </w:r>
      <w:r>
        <w:t xml:space="preserve">“Zapier,”</w:t>
      </w:r>
      <w:r>
        <w:t xml:space="preserve"> </w:t>
      </w:r>
      <w:r>
        <w:t xml:space="preserve">n.d.)</w:t>
      </w:r>
      <w:r>
        <w:t xml:space="preserve"> </w:t>
      </w:r>
      <w:r>
        <w:t xml:space="preserve">and n8n</w:t>
      </w:r>
      <w:r>
        <w:t xml:space="preserve"> </w:t>
      </w:r>
      <w:r>
        <w:t xml:space="preserve">(</w:t>
      </w:r>
      <w:r>
        <w:t xml:space="preserve">“N8n - Workflow Automation,”</w:t>
      </w:r>
      <w:r>
        <w:t xml:space="preserve"> </w:t>
      </w:r>
      <w:r>
        <w:t xml:space="preserve">n.d.)</w:t>
      </w:r>
      <w:r>
        <w:t xml:space="preserve"> </w:t>
      </w:r>
      <w:r>
        <w:t xml:space="preserve">provide visual interfaces for constructing integration workflows, reducing the programming expertise required for simple automations. These tools excel at connecting well-supported commercial services but offer limited customisation for the specialised APIs common in research contexts. Transformation capabilities are typically constrained to predefined operations, and the proprietary workflow formats resist version control and archival.</w:t>
      </w:r>
    </w:p>
    <w:p>
      <w:pPr>
        <w:pStyle w:val="BodyText"/>
      </w:pPr>
      <w:r>
        <w:rPr>
          <w:b/>
          <w:bCs/>
        </w:rPr>
        <w:t xml:space="preserve">Client Libraries and SDKs.</w:t>
      </w:r>
      <w:r>
        <w:t xml:space="preserve"> </w:t>
      </w:r>
      <w:r>
        <w:t xml:space="preserve">Service-specific client libraries abstract individual API interactions but do not address cross-service integration. Researchers using multiple services must still construct coordination logic, often replicating error handling and transformation code across libraries with incompatible interfaces.</w:t>
      </w:r>
    </w:p>
    <w:p>
      <w:pPr>
        <w:pStyle w:val="BodyText"/>
      </w:pPr>
      <w:r>
        <w:rPr>
          <w:b/>
          <w:bCs/>
        </w:rPr>
        <w:t xml:space="preserve">Enterprise Integration Platforms.</w:t>
      </w:r>
      <w:r>
        <w:t xml:space="preserve"> </w:t>
      </w:r>
      <w:r>
        <w:t xml:space="preserve">Solutions such as MuleSoft and Informatica provide comprehensive integration capabilities with governance features appropriate for enterprise contexts. However, their commercial licensing models, operational complexity, and heavy infrastructure requirements place them beyond the reach of most academic computing environments.</w:t>
      </w:r>
    </w:p>
    <w:bookmarkEnd w:id="12"/>
    <w:bookmarkStart w:id="13" w:name="X86bcff5afd0facb79707df9e4fcddcf07713faf"/>
    <w:p>
      <w:pPr>
        <w:pStyle w:val="Heading2"/>
      </w:pPr>
      <w:r>
        <w:t xml:space="preserve">2.3 Research Software Engineering Considerations</w:t>
      </w:r>
    </w:p>
    <w:p>
      <w:pPr>
        <w:pStyle w:val="FirstParagraph"/>
      </w:pPr>
      <w:r>
        <w:t xml:space="preserve">The discipline of research software engineering emphasises practices that support scientific reproducibility, including version control, testing, documentation, and dependency management</w:t>
      </w:r>
      <w:r>
        <w:t xml:space="preserve"> </w:t>
      </w:r>
      <w:r>
        <w:t xml:space="preserve">(Benureau and Rougier 2017)</w:t>
      </w:r>
      <w:r>
        <w:t xml:space="preserve">. Integration pipelines present particular challenges for these practices: ephemeral API responses resist deterministic testing, configuration often includes sensitive credentials, and the correctness of transformations may depend on domain expertise not captured in automated tests.</w:t>
      </w:r>
    </w:p>
    <w:p>
      <w:pPr>
        <w:pStyle w:val="BodyText"/>
      </w:pPr>
      <w:r>
        <w:t xml:space="preserve">ApiLinker’s design responds to these challenges by separating concerns that vary independently: transport protocols are encapsulated in connectors, transformation logic in mappers, authentication in pluggable handlers, and scheduling in dedicated orchestration components. This separation enables focused testing of each concern and supports progressive elaboration of configurations as requirements evolve.</w:t>
      </w:r>
    </w:p>
    <w:bookmarkEnd w:id="13"/>
    <w:bookmarkEnd w:id="14"/>
    <w:bookmarkStart w:id="28" w:name="software-architecture"/>
    <w:p>
      <w:pPr>
        <w:pStyle w:val="Heading1"/>
      </w:pPr>
      <w:r>
        <w:t xml:space="preserve">3. Software Architecture</w:t>
      </w:r>
    </w:p>
    <w:bookmarkStart w:id="15" w:name="design-philosophy-and-principles"/>
    <w:p>
      <w:pPr>
        <w:pStyle w:val="Heading2"/>
      </w:pPr>
      <w:r>
        <w:t xml:space="preserve">3.1 Design Philosophy and Principles</w:t>
      </w:r>
    </w:p>
    <w:p>
      <w:pPr>
        <w:pStyle w:val="FirstParagraph"/>
      </w:pPr>
      <w:r>
        <w:t xml:space="preserve">ApiLinker’s architecture reflects five guiding principles derived from research software engineering best practices and production systems design:</w:t>
      </w:r>
    </w:p>
    <w:p>
      <w:pPr>
        <w:numPr>
          <w:ilvl w:val="0"/>
          <w:numId w:val="1001"/>
        </w:numPr>
      </w:pPr>
      <w:r>
        <w:rPr>
          <w:b/>
          <w:bCs/>
        </w:rPr>
        <w:t xml:space="preserve">Configuration-Driven Definition.</w:t>
      </w:r>
      <w:r>
        <w:t xml:space="preserve"> </w:t>
      </w:r>
      <w:r>
        <w:t xml:space="preserve">Integration specifications are expressed as declarative configurations in YAML or JSON, separating the</w:t>
      </w:r>
      <w:r>
        <w:t xml:space="preserve"> </w:t>
      </w:r>
      <w:r>
        <w:rPr>
          <w:i/>
          <w:iCs/>
        </w:rPr>
        <w:t xml:space="preserve">what</w:t>
      </w:r>
      <w:r>
        <w:t xml:space="preserve"> </w:t>
      </w:r>
      <w:r>
        <w:t xml:space="preserve">of integration from the</w:t>
      </w:r>
      <w:r>
        <w:t xml:space="preserve"> </w:t>
      </w:r>
      <w:r>
        <w:rPr>
          <w:i/>
          <w:iCs/>
        </w:rPr>
        <w:t xml:space="preserve">how</w:t>
      </w:r>
      <w:r>
        <w:t xml:space="preserve"> </w:t>
      </w:r>
      <w:r>
        <w:t xml:space="preserve">of implementation. This approach enables configurations to serve as version-controlled artefacts that can be reviewed, compared, and archived alongside research outputs.</w:t>
      </w:r>
    </w:p>
    <w:p>
      <w:pPr>
        <w:numPr>
          <w:ilvl w:val="0"/>
          <w:numId w:val="1001"/>
        </w:numPr>
      </w:pPr>
      <w:r>
        <w:rPr>
          <w:b/>
          <w:bCs/>
        </w:rPr>
        <w:t xml:space="preserve">Composable Components.</w:t>
      </w:r>
      <w:r>
        <w:t xml:space="preserve"> </w:t>
      </w:r>
      <w:r>
        <w:t xml:space="preserve">The system decomposes into focused components—connectors, mappers, authenticators, schedulers, and error handlers—with narrow interfaces that can be composed to address diverse integration scenarios. This modularity supports both incremental adoption and targeted extension.</w:t>
      </w:r>
    </w:p>
    <w:p>
      <w:pPr>
        <w:numPr>
          <w:ilvl w:val="0"/>
          <w:numId w:val="1001"/>
        </w:numPr>
      </w:pPr>
      <w:r>
        <w:rPr>
          <w:b/>
          <w:bCs/>
        </w:rPr>
        <w:t xml:space="preserve">Explicit Resilience.</w:t>
      </w:r>
      <w:r>
        <w:t xml:space="preserve"> </w:t>
      </w:r>
      <w:r>
        <w:t xml:space="preserve">Failure handling mechanisms including retries, circuit breakers, and dead-letter queues are first-class configuration elements rather than hidden implementation details. Researchers can reason about and tune failure behaviour without examining source code.</w:t>
      </w:r>
    </w:p>
    <w:p>
      <w:pPr>
        <w:numPr>
          <w:ilvl w:val="0"/>
          <w:numId w:val="1001"/>
        </w:numPr>
      </w:pPr>
      <w:r>
        <w:rPr>
          <w:b/>
          <w:bCs/>
        </w:rPr>
        <w:t xml:space="preserve">Deterministic Transformations.</w:t>
      </w:r>
      <w:r>
        <w:t xml:space="preserve"> </w:t>
      </w:r>
      <w:r>
        <w:t xml:space="preserve">The mapping subsystem guarantees that identical inputs produce identical outputs given a fixed mapping specification. Side effects are confined to logging and metrics, enabling confident reasoning about transformation behaviour.</w:t>
      </w:r>
    </w:p>
    <w:p>
      <w:pPr>
        <w:numPr>
          <w:ilvl w:val="0"/>
          <w:numId w:val="1001"/>
        </w:numPr>
      </w:pPr>
      <w:r>
        <w:rPr>
          <w:b/>
          <w:bCs/>
        </w:rPr>
        <w:t xml:space="preserve">Minimal Dependencies.</w:t>
      </w:r>
      <w:r>
        <w:t xml:space="preserve"> </w:t>
      </w:r>
      <w:r>
        <w:t xml:space="preserve">The core framework maintains a small dependency surface (httpx, pydantic, pyyaml, typer, croniter, rich) to reduce installation friction and long-term maintenance burden. Optional integrations (observability, secret management) are available as extras.</w:t>
      </w:r>
    </w:p>
    <w:bookmarkEnd w:id="15"/>
    <w:bookmarkStart w:id="22" w:name="X5b9f1661766d1449e5acdbab964d2e7435da002"/>
    <w:p>
      <w:pPr>
        <w:pStyle w:val="Heading2"/>
      </w:pPr>
      <w:r>
        <w:t xml:space="preserve">3.2 System Components</w:t>
      </w:r>
      <w:r>
        <w:t xml:space="preserve">framework comprises six principal components organised in a layered architecture that enforces separation of concerns and minimises coupling between subsystems. This modular design reflects several well-established software design patterns that enhance maintainability and extensibility:</w:t>
      </w:r>
      <w:r>
        <w:t xml:space="preserve">-</w:t>
      </w:r>
      <w:r>
        <w:t xml:space="preserve"> </w:t>
      </w:r>
      <w:r>
        <w:rPr>
          <w:b/>
          <w:bCs/>
        </w:rPr>
        <w:t xml:space="preserve">Strategy Pattern</w:t>
      </w:r>
      <w:r>
        <w:t xml:space="preserve">: Authentication handlers implement interchangeable algorithms for credential management, selected at runtime based on configuration.</w:t>
      </w:r>
      <w:r>
        <w:t xml:space="preserve">-</w:t>
      </w:r>
      <w:r>
        <w:t xml:space="preserve"> </w:t>
      </w:r>
      <w:r>
        <w:rPr>
          <w:b/>
          <w:bCs/>
        </w:rPr>
        <w:t xml:space="preserve">Factory Pattern</w:t>
      </w:r>
      <w:r>
        <w:t xml:space="preserve">: Connectors and transformers are instantiated through factory methods that abstract instantiation complexity.</w:t>
      </w:r>
      <w:r>
        <w:t xml:space="preserve">-</w:t>
      </w:r>
      <w:r>
        <w:t xml:space="preserve"> </w:t>
      </w:r>
      <w:r>
        <w:rPr>
          <w:b/>
          <w:bCs/>
        </w:rPr>
        <w:t xml:space="preserve">Observer Pattern</w:t>
      </w:r>
      <w:r>
        <w:t xml:space="preserve">: Error handlers and monitoring hooks are notified of events throughout the sync lifecycle without tight coupling to core logic.</w:t>
      </w:r>
      <w:r>
        <w:t xml:space="preserve">-</w:t>
      </w:r>
      <w:r>
        <w:t xml:space="preserve"> </w:t>
      </w:r>
      <w:r>
        <w:rPr>
          <w:b/>
          <w:bCs/>
        </w:rPr>
        <w:t xml:space="preserve">Template Method Pattern</w:t>
      </w:r>
      <w:r>
        <w:t xml:space="preserve">: The base connector class defines the skeleton of the request/response cycle, with specialised connectors overriding specific steps.</w:t>
      </w:r>
      <w:r>
        <w:t xml:space="preserve">-</w:t>
      </w:r>
      <w:r>
        <w:t xml:space="preserve"> </w:t>
      </w:r>
      <w:r>
        <w:rPr>
          <w:b/>
          <w:bCs/>
        </w:rPr>
        <w:t xml:space="preserve">Circuit Breaker Pattern</w:t>
      </w:r>
      <w:r>
        <w:t xml:space="preserve">: Encapsulated failure detection and recovery logic prevents cascading failures across service boundaries.</w:t>
      </w:r>
    </w:p>
    <w:bookmarkStart w:id="16" w:name="apilinker-orchestrator"/>
    <w:p>
      <w:pPr>
        <w:pStyle w:val="Heading3"/>
      </w:pPr>
      <w:r>
        <w:t xml:space="preserve">3.2.1 ApiLinker Orchestrator</w:t>
      </w:r>
    </w:p>
    <w:p>
      <w:pPr>
        <w:pStyle w:val="FirstParagraph"/>
      </w:pPr>
      <w:r>
        <w:t xml:space="preserve">The central</w:t>
      </w:r>
      <w:r>
        <w:t xml:space="preserve"> </w:t>
      </w:r>
      <w:r>
        <w:rPr>
          <w:rStyle w:val="VerbatimChar"/>
        </w:rPr>
        <w:t xml:space="preserve">ApiLinker</w:t>
      </w:r>
      <w:r>
        <w:t xml:space="preserve"> </w:t>
      </w:r>
      <w:r>
        <w:t xml:space="preserve">class coordinates workflow execution, managing the lifecycle of source and target connectors, invoking the mapper for data transformation, and delegating to the scheduler for timed execution. The orchestrator provides both programmatic and configuration-driven interfaces:</w:t>
      </w:r>
    </w:p>
    <w:p>
      <w:pPr>
        <w:pStyle w:val="SourceCode"/>
      </w:pPr>
      <w:r>
        <w:rPr>
          <w:rStyle w:val="ImportTok"/>
        </w:rPr>
        <w:t xml:space="preserve">from</w:t>
      </w:r>
      <w:r>
        <w:rPr>
          <w:rStyle w:val="NormalTok"/>
        </w:rPr>
        <w:t xml:space="preserve"> apilinker </w:t>
      </w:r>
      <w:r>
        <w:rPr>
          <w:rStyle w:val="ImportTok"/>
        </w:rPr>
        <w:t xml:space="preserve">import</w:t>
      </w:r>
      <w:r>
        <w:rPr>
          <w:rStyle w:val="NormalTok"/>
        </w:rPr>
        <w:t xml:space="preserve"> ApiLinker</w:t>
      </w:r>
      <w:r>
        <w:br/>
      </w:r>
      <w:r>
        <w:br/>
      </w:r>
      <w:r>
        <w:rPr>
          <w:rStyle w:val="NormalTok"/>
        </w:rPr>
        <w:t xml:space="preserve">linker </w:t>
      </w:r>
      <w:r>
        <w:rPr>
          <w:rStyle w:val="OperatorTok"/>
        </w:rPr>
        <w:t xml:space="preserve">=</w:t>
      </w:r>
      <w:r>
        <w:rPr>
          <w:rStyle w:val="NormalTok"/>
        </w:rPr>
        <w:t xml:space="preserve"> ApiLinker(config_path</w:t>
      </w:r>
      <w:r>
        <w:rPr>
          <w:rStyle w:val="OperatorTok"/>
        </w:rPr>
        <w:t xml:space="preserve">=</w:t>
      </w:r>
      <w:r>
        <w:rPr>
          <w:rStyle w:val="StringTok"/>
        </w:rPr>
        <w:t xml:space="preserve">"integration.yaml"</w:t>
      </w:r>
      <w:r>
        <w:rPr>
          <w:rStyle w:val="NormalTok"/>
        </w:rPr>
        <w:t xml:space="preserve">)</w:t>
      </w:r>
      <w:r>
        <w:br/>
      </w:r>
      <w:r>
        <w:rPr>
          <w:rStyle w:val="NormalTok"/>
        </w:rPr>
        <w:t xml:space="preserve">result </w:t>
      </w:r>
      <w:r>
        <w:rPr>
          <w:rStyle w:val="OperatorTok"/>
        </w:rPr>
        <w:t xml:space="preserve">=</w:t>
      </w:r>
      <w:r>
        <w:rPr>
          <w:rStyle w:val="NormalTok"/>
        </w:rPr>
        <w:t xml:space="preserve"> linker.sync()</w:t>
      </w:r>
    </w:p>
    <w:p>
      <w:pPr>
        <w:pStyle w:val="FirstParagraph"/>
      </w:pPr>
      <w:r>
        <w:t xml:space="preserve">The</w:t>
      </w:r>
      <w:r>
        <w:t xml:space="preserve"> </w:t>
      </w:r>
      <w:r>
        <w:rPr>
          <w:rStyle w:val="VerbatimChar"/>
        </w:rPr>
        <w:t xml:space="preserve">sync()</w:t>
      </w:r>
      <w:r>
        <w:t xml:space="preserve"> </w:t>
      </w:r>
      <w:r>
        <w:t xml:space="preserve">method executes a complete integration cycle: authenticating to source and target services, fetching source data with pagination handling, applying field mappings and transformations, transmitting results to targets, and collecting execution metrics. The method returns a</w:t>
      </w:r>
      <w:r>
        <w:t xml:space="preserve"> </w:t>
      </w:r>
      <w:r>
        <w:rPr>
          <w:rStyle w:val="VerbatimChar"/>
        </w:rPr>
        <w:t xml:space="preserve">SyncResult</w:t>
      </w:r>
      <w:r>
        <w:t xml:space="preserve"> </w:t>
      </w:r>
      <w:r>
        <w:t xml:space="preserve">object containing counts of processed and failed records, timing information, correlation identifiers for distributed tracing, and detailed error reports when applicable.</w:t>
      </w:r>
    </w:p>
    <w:p>
      <w:pPr>
        <w:pStyle w:val="BodyText"/>
      </w:pPr>
      <w:r>
        <w:t xml:space="preserve">The orchestrator implements state management for incremental synchronisation scenarios, tracking the last successfully processed record to enable resumption after interruption. State persistence supports both file-based storage for simple deployments and SQLite for scenarios requiring concurrent access or transactional guarantees. This capability is particularly valuable for longitudinal studies that accumulate data over extended periods, where full re-synchronisation would be prohibitively expensive.</w:t>
      </w:r>
    </w:p>
    <w:bookmarkEnd w:id="16"/>
    <w:bookmarkStart w:id="17" w:name="api-connectors"/>
    <w:p>
      <w:pPr>
        <w:pStyle w:val="Heading3"/>
      </w:pPr>
      <w:r>
        <w:t xml:space="preserve">3.2.2 API Connectors</w:t>
      </w:r>
    </w:p>
    <w:p>
      <w:pPr>
        <w:pStyle w:val="FirstParagraph"/>
      </w:pPr>
      <w:r>
        <w:t xml:space="preserve">The</w:t>
      </w:r>
      <w:r>
        <w:t xml:space="preserve"> </w:t>
      </w:r>
      <w:r>
        <w:rPr>
          <w:rStyle w:val="VerbatimChar"/>
        </w:rPr>
        <w:t xml:space="preserve">ApiConnector</w:t>
      </w:r>
      <w:r>
        <w:t xml:space="preserve"> </w:t>
      </w:r>
      <w:r>
        <w:t xml:space="preserve">class encapsulates HTTP transport concerns including request construction, authentication application, response parsing, pagination traversal, and retry logic. Connectors are configured with base URLs, authentication parameters, and endpoint specifications:</w:t>
      </w:r>
    </w:p>
    <w:p>
      <w:pPr>
        <w:pStyle w:val="SourceCode"/>
      </w:pP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rest</w:t>
      </w:r>
      <w:r>
        <w:br/>
      </w:r>
      <w:r>
        <w:rPr>
          <w:rStyle w:val="AttributeTok"/>
        </w:rPr>
        <w:t xml:space="preserve">  </w:t>
      </w:r>
      <w:r>
        <w:rPr>
          <w:rStyle w:val="FunctionTok"/>
        </w:rPr>
        <w:t xml:space="preserve">base_url</w:t>
      </w:r>
      <w:r>
        <w:rPr>
          <w:rStyle w:val="KeywordTok"/>
        </w:rPr>
        <w:t xml:space="preserve">:</w:t>
      </w:r>
      <w:r>
        <w:rPr>
          <w:rStyle w:val="AttributeTok"/>
        </w:rPr>
        <w:t xml:space="preserve"> https://api.crossref.org/works</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FunctionTok"/>
        </w:rPr>
        <w:t xml:space="preserve">search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method</w:t>
      </w:r>
      <w:r>
        <w:rPr>
          <w:rStyle w:val="KeywordTok"/>
        </w:rPr>
        <w:t xml:space="preserve">:</w:t>
      </w:r>
      <w:r>
        <w:rPr>
          <w:rStyle w:val="AttributeTok"/>
        </w:rPr>
        <w:t xml:space="preserve"> GET</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rows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pagination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offset</w:t>
      </w:r>
      <w:r>
        <w:br/>
      </w:r>
      <w:r>
        <w:rPr>
          <w:rStyle w:val="AttributeTok"/>
        </w:rPr>
        <w:t xml:space="preserve">        </w:t>
      </w:r>
      <w:r>
        <w:rPr>
          <w:rStyle w:val="FunctionTok"/>
        </w:rPr>
        <w:t xml:space="preserve">offset_param</w:t>
      </w:r>
      <w:r>
        <w:rPr>
          <w:rStyle w:val="KeywordTok"/>
        </w:rPr>
        <w:t xml:space="preserve">:</w:t>
      </w:r>
      <w:r>
        <w:rPr>
          <w:rStyle w:val="AttributeTok"/>
        </w:rPr>
        <w:t xml:space="preserve"> offset</w:t>
      </w:r>
      <w:r>
        <w:br/>
      </w:r>
      <w:r>
        <w:rPr>
          <w:rStyle w:val="AttributeTok"/>
        </w:rPr>
        <w:t xml:space="preserve">        </w:t>
      </w:r>
      <w:r>
        <w:rPr>
          <w:rStyle w:val="FunctionTok"/>
        </w:rPr>
        <w:t xml:space="preserve">page_size_param</w:t>
      </w:r>
      <w:r>
        <w:rPr>
          <w:rStyle w:val="KeywordTok"/>
        </w:rPr>
        <w:t xml:space="preserve">:</w:t>
      </w:r>
      <w:r>
        <w:rPr>
          <w:rStyle w:val="AttributeTok"/>
        </w:rPr>
        <w:t xml:space="preserve"> rows</w:t>
      </w:r>
    </w:p>
    <w:p>
      <w:pPr>
        <w:pStyle w:val="FirstParagraph"/>
      </w:pPr>
      <w:r>
        <w:t xml:space="preserve">Each endpoint specification declares path, method, default parameters, response extraction paths, and pagination strategy. The connector handles rate limiting through configurable delays and respects provider-specified rate limit headers.</w:t>
      </w:r>
    </w:p>
    <w:bookmarkEnd w:id="17"/>
    <w:bookmarkStart w:id="18" w:name="field-mapper-and-transformers"/>
    <w:p>
      <w:pPr>
        <w:pStyle w:val="Heading3"/>
      </w:pPr>
      <w:r>
        <w:t xml:space="preserve">3.2.3 Field Mapper and Transformers</w:t>
      </w:r>
    </w:p>
    <w:p>
      <w:pPr>
        <w:pStyle w:val="FirstParagraph"/>
      </w:pPr>
      <w:r>
        <w:t xml:space="preserve">The</w:t>
      </w:r>
      <w:r>
        <w:t xml:space="preserve"> </w:t>
      </w:r>
      <w:r>
        <w:rPr>
          <w:rStyle w:val="VerbatimChar"/>
        </w:rPr>
        <w:t xml:space="preserve">FieldMapper</w:t>
      </w:r>
      <w:r>
        <w:t xml:space="preserve"> </w:t>
      </w:r>
      <w:r>
        <w:t xml:space="preserve">component implements schema transformation using a rule-based mapping model. Each mapping rule specifies source and target field paths using dot notation for nested access, optional transformation functions, and conditional inclusion predicates:</w:t>
      </w:r>
    </w:p>
    <w:p>
      <w:pPr>
        <w:pStyle w:val="SourceCode"/>
      </w:pPr>
      <w:r>
        <w:rPr>
          <w:rStyle w:val="FunctionTok"/>
        </w:rPr>
        <w:t xml:space="preserve">mapping</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search</w:t>
      </w:r>
      <w:r>
        <w:br/>
      </w:r>
      <w:r>
        <w:rPr>
          <w:rStyle w:val="AttributeTok"/>
        </w:rPr>
        <w:t xml:space="preserve">  </w:t>
      </w:r>
      <w:r>
        <w:rPr>
          <w:rStyle w:val="FunctionTok"/>
        </w:rPr>
        <w:t xml:space="preserve">target</w:t>
      </w:r>
      <w:r>
        <w:rPr>
          <w:rStyle w:val="KeywordTok"/>
        </w:rPr>
        <w:t xml:space="preserve">:</w:t>
      </w:r>
      <w:r>
        <w:rPr>
          <w:rStyle w:val="AttributeTok"/>
        </w:rPr>
        <w:t xml:space="preserve"> create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DOI</w:t>
      </w:r>
      <w:r>
        <w:br/>
      </w:r>
      <w:r>
        <w:rPr>
          <w:rStyle w:val="AttributeTok"/>
        </w:rPr>
        <w:t xml:space="preserve">      </w:t>
      </w:r>
      <w:r>
        <w:rPr>
          <w:rStyle w:val="FunctionTok"/>
        </w:rPr>
        <w:t xml:space="preserve">target</w:t>
      </w:r>
      <w:r>
        <w:rPr>
          <w:rStyle w:val="KeywordTok"/>
        </w:rPr>
        <w:t xml:space="preserve">:</w:t>
      </w:r>
      <w:r>
        <w:rPr>
          <w:rStyle w:val="AttributeTok"/>
        </w:rPr>
        <w:t xml:space="preserve"> identifier</w:t>
      </w:r>
      <w:r>
        <w:br/>
      </w:r>
      <w:r>
        <w:rPr>
          <w:rStyle w:val="AttributeTok"/>
        </w:rPr>
        <w:t xml:space="preserve">      </w:t>
      </w:r>
      <w:r>
        <w:rPr>
          <w:rStyle w:val="FunctionTok"/>
        </w:rPr>
        <w:t xml:space="preserve">transform</w:t>
      </w:r>
      <w:r>
        <w:rPr>
          <w:rStyle w:val="KeywordTok"/>
        </w:rPr>
        <w:t xml:space="preserve">:</w:t>
      </w:r>
      <w:r>
        <w:rPr>
          <w:rStyle w:val="AttributeTok"/>
        </w:rPr>
        <w:t xml:space="preserve"> lowercase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title[0]</w:t>
      </w:r>
      <w:r>
        <w:br/>
      </w:r>
      <w:r>
        <w:rPr>
          <w:rStyle w:val="AttributeTok"/>
        </w:rPr>
        <w:t xml:space="preserve">      </w:t>
      </w:r>
      <w:r>
        <w:rPr>
          <w:rStyle w:val="FunctionTok"/>
        </w:rPr>
        <w:t xml:space="preserve">target</w:t>
      </w:r>
      <w:r>
        <w:rPr>
          <w:rStyle w:val="KeywordTok"/>
        </w:rPr>
        <w:t xml:space="preserve">:</w:t>
      </w:r>
      <w:r>
        <w:rPr>
          <w:rStyle w:val="AttributeTok"/>
        </w:rPr>
        <w:t xml:space="preserve"> name</w:t>
      </w:r>
      <w:r>
        <w:br/>
      </w:r>
      <w:r>
        <w:rPr>
          <w:rStyle w:val="AttributeTok"/>
        </w:rPr>
        <w:t xml:space="preserve">      </w:t>
      </w:r>
      <w:r>
        <w:rPr>
          <w:rStyle w:val="FunctionTok"/>
        </w:rPr>
        <w:t xml:space="preserve">transform</w:t>
      </w:r>
      <w:r>
        <w:rPr>
          <w:rStyle w:val="KeywordTok"/>
        </w:rPr>
        <w:t xml:space="preserve">:</w:t>
      </w:r>
      <w:r>
        <w:rPr>
          <w:rStyle w:val="AttributeTok"/>
        </w:rPr>
        <w:t xml:space="preserve"> trim</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created.date-parts[0]</w:t>
      </w:r>
      <w:r>
        <w:br/>
      </w:r>
      <w:r>
        <w:rPr>
          <w:rStyle w:val="AttributeTok"/>
        </w:rPr>
        <w:t xml:space="preserve">      </w:t>
      </w:r>
      <w:r>
        <w:rPr>
          <w:rStyle w:val="FunctionTok"/>
        </w:rPr>
        <w:t xml:space="preserve">target</w:t>
      </w:r>
      <w:r>
        <w:rPr>
          <w:rStyle w:val="KeywordTok"/>
        </w:rPr>
        <w:t xml:space="preserve">:</w:t>
      </w:r>
      <w:r>
        <w:rPr>
          <w:rStyle w:val="AttributeTok"/>
        </w:rPr>
        <w:t xml:space="preserve"> publication_date</w:t>
      </w:r>
      <w:r>
        <w:br/>
      </w:r>
      <w:r>
        <w:rPr>
          <w:rStyle w:val="AttributeTok"/>
        </w:rPr>
        <w:t xml:space="preserve">      </w:t>
      </w:r>
      <w:r>
        <w:rPr>
          <w:rStyle w:val="FunctionTok"/>
        </w:rPr>
        <w:t xml:space="preserve">transform</w:t>
      </w:r>
      <w:r>
        <w:rPr>
          <w:rStyle w:val="KeywordTok"/>
        </w:rPr>
        <w:t xml:space="preserve">:</w:t>
      </w:r>
      <w:r>
        <w:rPr>
          <w:rStyle w:val="AttributeTok"/>
        </w:rPr>
        <w:t xml:space="preserve"> flatten_date</w:t>
      </w:r>
    </w:p>
    <w:p>
      <w:pPr>
        <w:pStyle w:val="FirstParagraph"/>
      </w:pPr>
      <w:r>
        <w:t xml:space="preserve">Built-in transformers address common requirements (case conversion, whitespace handling, date parsing, type coercion), while the plugin system enables registration of domain-specific transformations. The mapper guarantees deterministic execution: given identical input records and mapping specifications, outputs are identical across invocations.</w:t>
      </w:r>
    </w:p>
    <w:p>
      <w:pPr>
        <w:pStyle w:val="BodyText"/>
      </w:pPr>
      <w:r>
        <w:t xml:space="preserve">The transformation pipeline supports chaining multiple operations:</w:t>
      </w:r>
      <w:r>
        <w:t xml:space="preserve"> </w:t>
      </w:r>
      <w:r>
        <w:rPr>
          <w:rStyle w:val="VerbatimChar"/>
        </w:rPr>
        <w:t xml:space="preserve">transform: [trim, lowercase, slugify]</w:t>
      </w:r>
      <w:r>
        <w:t xml:space="preserve"> </w:t>
      </w:r>
      <w:r>
        <w:t xml:space="preserve">applies each function sequentially. Conditional mappings enable dynamic field inclusion based on source data values: a field may be included only when another field meets specified criteria (equality, inequality, existence, numeric comparisons). This expressiveness supports complex normalisation scenarios without requiring imperative code.</w:t>
      </w:r>
    </w:p>
    <w:p>
      <w:pPr>
        <w:pStyle w:val="BodyText"/>
      </w:pPr>
      <w:r>
        <w:rPr>
          <w:b/>
          <w:bCs/>
        </w:rPr>
        <w:t xml:space="preserve">Built-in Transformers.</w:t>
      </w:r>
      <w:r>
        <w:t xml:space="preserve"> </w:t>
      </w:r>
      <w:r>
        <w:t xml:space="preserve">The framework ships with transformers for common research data scenarios:</w:t>
      </w:r>
    </w:p>
    <w:p>
      <w:pPr>
        <w:pStyle w:val="Compact"/>
        <w:numPr>
          <w:ilvl w:val="0"/>
          <w:numId w:val="1002"/>
        </w:numPr>
      </w:pPr>
      <w:r>
        <w:rPr>
          <w:b/>
          <w:bCs/>
        </w:rPr>
        <w:t xml:space="preserve">String operations</w:t>
      </w:r>
      <w:r>
        <w:t xml:space="preserve">:</w:t>
      </w:r>
      <w:r>
        <w:t xml:space="preserve"> </w:t>
      </w:r>
      <w:r>
        <w:rPr>
          <w:rStyle w:val="VerbatimChar"/>
        </w:rPr>
        <w:t xml:space="preserve">lowercase</w:t>
      </w:r>
      <w:r>
        <w:t xml:space="preserve">,</w:t>
      </w:r>
      <w:r>
        <w:t xml:space="preserve"> </w:t>
      </w:r>
      <w:r>
        <w:rPr>
          <w:rStyle w:val="VerbatimChar"/>
        </w:rPr>
        <w:t xml:space="preserve">uppercase</w:t>
      </w:r>
      <w:r>
        <w:t xml:space="preserve">,</w:t>
      </w:r>
      <w:r>
        <w:t xml:space="preserve"> </w:t>
      </w:r>
      <w:r>
        <w:rPr>
          <w:rStyle w:val="VerbatimChar"/>
        </w:rPr>
        <w:t xml:space="preserve">trim</w:t>
      </w:r>
      <w:r>
        <w:t xml:space="preserve">,</w:t>
      </w:r>
      <w:r>
        <w:t xml:space="preserve"> </w:t>
      </w:r>
      <w:r>
        <w:rPr>
          <w:rStyle w:val="VerbatimChar"/>
        </w:rPr>
        <w:t xml:space="preserve">slugify</w:t>
      </w:r>
      <w:r>
        <w:t xml:space="preserve">,</w:t>
      </w:r>
      <w:r>
        <w:t xml:space="preserve"> </w:t>
      </w:r>
      <w:r>
        <w:rPr>
          <w:rStyle w:val="VerbatimChar"/>
        </w:rPr>
        <w:t xml:space="preserve">truncate</w:t>
      </w:r>
      <w:r>
        <w:t xml:space="preserve">,</w:t>
      </w:r>
      <w:r>
        <w:t xml:space="preserve"> </w:t>
      </w:r>
      <w:r>
        <w:rPr>
          <w:rStyle w:val="VerbatimChar"/>
        </w:rPr>
        <w:t xml:space="preserve">replace</w:t>
      </w:r>
    </w:p>
    <w:p>
      <w:pPr>
        <w:pStyle w:val="Compact"/>
        <w:numPr>
          <w:ilvl w:val="0"/>
          <w:numId w:val="1002"/>
        </w:numPr>
      </w:pPr>
      <w:r>
        <w:rPr>
          <w:b/>
          <w:bCs/>
        </w:rPr>
        <w:t xml:space="preserve">Numeric operations</w:t>
      </w:r>
      <w:r>
        <w:t xml:space="preserve">:</w:t>
      </w:r>
      <w:r>
        <w:t xml:space="preserve"> </w:t>
      </w:r>
      <w:r>
        <w:rPr>
          <w:rStyle w:val="VerbatimChar"/>
        </w:rPr>
        <w:t xml:space="preserve">to_int</w:t>
      </w:r>
      <w:r>
        <w:t xml:space="preserve">,</w:t>
      </w:r>
      <w:r>
        <w:t xml:space="preserve"> </w:t>
      </w:r>
      <w:r>
        <w:rPr>
          <w:rStyle w:val="VerbatimChar"/>
        </w:rPr>
        <w:t xml:space="preserve">to_float</w:t>
      </w:r>
      <w:r>
        <w:t xml:space="preserve">,</w:t>
      </w:r>
      <w:r>
        <w:t xml:space="preserve"> </w:t>
      </w:r>
      <w:r>
        <w:rPr>
          <w:rStyle w:val="VerbatimChar"/>
        </w:rPr>
        <w:t xml:space="preserve">round</w:t>
      </w:r>
      <w:r>
        <w:t xml:space="preserve">,</w:t>
      </w:r>
      <w:r>
        <w:t xml:space="preserve"> </w:t>
      </w:r>
      <w:r>
        <w:rPr>
          <w:rStyle w:val="VerbatimChar"/>
        </w:rPr>
        <w:t xml:space="preserve">abs</w:t>
      </w:r>
      <w:r>
        <w:t xml:space="preserve">,</w:t>
      </w:r>
      <w:r>
        <w:t xml:space="preserve"> </w:t>
      </w:r>
      <w:r>
        <w:rPr>
          <w:rStyle w:val="VerbatimChar"/>
        </w:rPr>
        <w:t xml:space="preserve">percentage</w:t>
      </w:r>
    </w:p>
    <w:p>
      <w:pPr>
        <w:pStyle w:val="Compact"/>
        <w:numPr>
          <w:ilvl w:val="0"/>
          <w:numId w:val="1002"/>
        </w:numPr>
      </w:pPr>
      <w:r>
        <w:rPr>
          <w:b/>
          <w:bCs/>
        </w:rPr>
        <w:t xml:space="preserve">Date/time operations</w:t>
      </w:r>
      <w:r>
        <w:t xml:space="preserve">:</w:t>
      </w:r>
      <w:r>
        <w:t xml:space="preserve"> </w:t>
      </w:r>
      <w:r>
        <w:rPr>
          <w:rStyle w:val="VerbatimChar"/>
        </w:rPr>
        <w:t xml:space="preserve">iso_to_timestamp</w:t>
      </w:r>
      <w:r>
        <w:t xml:space="preserve">,</w:t>
      </w:r>
      <w:r>
        <w:t xml:space="preserve"> </w:t>
      </w:r>
      <w:r>
        <w:rPr>
          <w:rStyle w:val="VerbatimChar"/>
        </w:rPr>
        <w:t xml:space="preserve">timestamp_to_iso</w:t>
      </w:r>
      <w:r>
        <w:t xml:space="preserve">,</w:t>
      </w:r>
      <w:r>
        <w:t xml:space="preserve"> </w:t>
      </w:r>
      <w:r>
        <w:rPr>
          <w:rStyle w:val="VerbatimChar"/>
        </w:rPr>
        <w:t xml:space="preserve">format_date</w:t>
      </w:r>
      <w:r>
        <w:t xml:space="preserve">,</w:t>
      </w:r>
      <w:r>
        <w:t xml:space="preserve"> </w:t>
      </w:r>
      <w:r>
        <w:rPr>
          <w:rStyle w:val="VerbatimChar"/>
        </w:rPr>
        <w:t xml:space="preserve">parse_date</w:t>
      </w:r>
    </w:p>
    <w:p>
      <w:pPr>
        <w:pStyle w:val="Compact"/>
        <w:numPr>
          <w:ilvl w:val="0"/>
          <w:numId w:val="1002"/>
        </w:numPr>
      </w:pPr>
      <w:r>
        <w:rPr>
          <w:b/>
          <w:bCs/>
        </w:rPr>
        <w:t xml:space="preserve">Collection operations</w:t>
      </w:r>
      <w:r>
        <w:t xml:space="preserve">:</w:t>
      </w:r>
      <w:r>
        <w:t xml:space="preserve"> </w:t>
      </w:r>
      <w:r>
        <w:rPr>
          <w:rStyle w:val="VerbatimChar"/>
        </w:rPr>
        <w:t xml:space="preserve">join</w:t>
      </w:r>
      <w:r>
        <w:t xml:space="preserve">,</w:t>
      </w:r>
      <w:r>
        <w:t xml:space="preserve"> </w:t>
      </w:r>
      <w:r>
        <w:rPr>
          <w:rStyle w:val="VerbatimChar"/>
        </w:rPr>
        <w:t xml:space="preserve">split</w:t>
      </w:r>
      <w:r>
        <w:t xml:space="preserve">,</w:t>
      </w:r>
      <w:r>
        <w:t xml:space="preserve"> </w:t>
      </w:r>
      <w:r>
        <w:rPr>
          <w:rStyle w:val="VerbatimChar"/>
        </w:rPr>
        <w:t xml:space="preserve">first</w:t>
      </w:r>
      <w:r>
        <w:t xml:space="preserve">,</w:t>
      </w:r>
      <w:r>
        <w:t xml:space="preserve"> </w:t>
      </w:r>
      <w:r>
        <w:rPr>
          <w:rStyle w:val="VerbatimChar"/>
        </w:rPr>
        <w:t xml:space="preserve">last</w:t>
      </w:r>
      <w:r>
        <w:t xml:space="preserve">,</w:t>
      </w:r>
      <w:r>
        <w:t xml:space="preserve"> </w:t>
      </w:r>
      <w:r>
        <w:rPr>
          <w:rStyle w:val="VerbatimChar"/>
        </w:rPr>
        <w:t xml:space="preserve">flatten</w:t>
      </w:r>
      <w:r>
        <w:t xml:space="preserve">,</w:t>
      </w:r>
      <w:r>
        <w:t xml:space="preserve"> </w:t>
      </w:r>
      <w:r>
        <w:rPr>
          <w:rStyle w:val="VerbatimChar"/>
        </w:rPr>
        <w:t xml:space="preserve">unique</w:t>
      </w:r>
    </w:p>
    <w:p>
      <w:pPr>
        <w:pStyle w:val="Compact"/>
        <w:numPr>
          <w:ilvl w:val="0"/>
          <w:numId w:val="1002"/>
        </w:numPr>
      </w:pPr>
      <w:r>
        <w:rPr>
          <w:b/>
          <w:bCs/>
        </w:rPr>
        <w:t xml:space="preserve">Validation operations</w:t>
      </w:r>
      <w:r>
        <w:t xml:space="preserve">:</w:t>
      </w:r>
      <w:r>
        <w:t xml:space="preserve"> </w:t>
      </w:r>
      <w:r>
        <w:rPr>
          <w:rStyle w:val="VerbatimChar"/>
        </w:rPr>
        <w:t xml:space="preserve">email_validate</w:t>
      </w:r>
      <w:r>
        <w:t xml:space="preserve">,</w:t>
      </w:r>
      <w:r>
        <w:t xml:space="preserve"> </w:t>
      </w:r>
      <w:r>
        <w:rPr>
          <w:rStyle w:val="VerbatimChar"/>
        </w:rPr>
        <w:t xml:space="preserve">url_validate</w:t>
      </w:r>
      <w:r>
        <w:t xml:space="preserve">,</w:t>
      </w:r>
      <w:r>
        <w:t xml:space="preserve"> </w:t>
      </w:r>
      <w:r>
        <w:rPr>
          <w:rStyle w:val="VerbatimChar"/>
        </w:rPr>
        <w:t xml:space="preserve">doi_normalize</w:t>
      </w:r>
    </w:p>
    <w:p>
      <w:pPr>
        <w:pStyle w:val="FirstParagraph"/>
      </w:pPr>
      <w:r>
        <w:t xml:space="preserve">Domain-specific transformers can be registered at runtime or packaged as plugins for reuse across projects.</w:t>
      </w:r>
    </w:p>
    <w:bookmarkEnd w:id="18"/>
    <w:bookmarkStart w:id="19" w:name="authentication-manager"/>
    <w:p>
      <w:pPr>
        <w:pStyle w:val="Heading3"/>
      </w:pPr>
      <w:r>
        <w:t xml:space="preserve">3.2.4 Authentication Manager</w:t>
      </w:r>
    </w:p>
    <w:p>
      <w:pPr>
        <w:pStyle w:val="FirstParagraph"/>
      </w:pPr>
      <w:r>
        <w:t xml:space="preserve">The</w:t>
      </w:r>
      <w:r>
        <w:t xml:space="preserve"> </w:t>
      </w:r>
      <w:r>
        <w:rPr>
          <w:rStyle w:val="VerbatimChar"/>
        </w:rPr>
        <w:t xml:space="preserve">AuthManager</w:t>
      </w:r>
      <w:r>
        <w:t xml:space="preserve"> </w:t>
      </w:r>
      <w:r>
        <w:t xml:space="preserve">supports multiple authentication paradigms through a pluggable handler architecture:</w:t>
      </w:r>
    </w:p>
    <w:p>
      <w:pPr>
        <w:pStyle w:val="Compact"/>
        <w:numPr>
          <w:ilvl w:val="0"/>
          <w:numId w:val="1003"/>
        </w:numPr>
      </w:pPr>
      <w:r>
        <w:rPr>
          <w:b/>
          <w:bCs/>
        </w:rPr>
        <w:t xml:space="preserve">API Key</w:t>
      </w:r>
      <w:r>
        <w:t xml:space="preserve">: Header or query parameter injection</w:t>
      </w:r>
    </w:p>
    <w:p>
      <w:pPr>
        <w:pStyle w:val="Compact"/>
        <w:numPr>
          <w:ilvl w:val="0"/>
          <w:numId w:val="1003"/>
        </w:numPr>
      </w:pPr>
      <w:r>
        <w:rPr>
          <w:b/>
          <w:bCs/>
        </w:rPr>
        <w:t xml:space="preserve">Bearer Token</w:t>
      </w:r>
      <w:r>
        <w:t xml:space="preserve">: Authorization header management</w:t>
      </w:r>
    </w:p>
    <w:p>
      <w:pPr>
        <w:pStyle w:val="Compact"/>
        <w:numPr>
          <w:ilvl w:val="0"/>
          <w:numId w:val="1003"/>
        </w:numPr>
      </w:pPr>
      <w:r>
        <w:rPr>
          <w:b/>
          <w:bCs/>
        </w:rPr>
        <w:t xml:space="preserve">Basic Authentication</w:t>
      </w:r>
      <w:r>
        <w:t xml:space="preserve">: Base64 credential encoding</w:t>
      </w:r>
    </w:p>
    <w:p>
      <w:pPr>
        <w:pStyle w:val="Compact"/>
        <w:numPr>
          <w:ilvl w:val="0"/>
          <w:numId w:val="1003"/>
        </w:numPr>
      </w:pPr>
      <w:r>
        <w:rPr>
          <w:b/>
          <w:bCs/>
        </w:rPr>
        <w:t xml:space="preserve">OAuth 2.0</w:t>
      </w:r>
      <w:r>
        <w:t xml:space="preserve">: Client credentials, authorization code, PKCE, and device flow grants with automatic token refresh</w:t>
      </w:r>
    </w:p>
    <w:p>
      <w:pPr>
        <w:pStyle w:val="FirstParagraph"/>
      </w:pPr>
      <w:r>
        <w:t xml:space="preserve">Credentials may be specified directly, referenced from environment variables using</w:t>
      </w:r>
      <w:r>
        <w:t xml:space="preserve"> </w:t>
      </w:r>
      <w:r>
        <w:rPr>
          <w:rStyle w:val="VerbatimChar"/>
        </w:rPr>
        <w:t xml:space="preserve">${VAR_NAME}</w:t>
      </w:r>
      <w:r>
        <w:t xml:space="preserve"> </w:t>
      </w:r>
      <w:r>
        <w:t xml:space="preserve">syntax, or retrieved from enterprise secret managers. The authentication subsystem integrates with HashiCorp Vault, AWS Secrets Manager, Azure Key Vault, and Google Cloud Secret Manager for production deployments requiring centralized credential governance.</w:t>
      </w:r>
    </w:p>
    <w:bookmarkEnd w:id="19"/>
    <w:bookmarkStart w:id="20" w:name="scheduler"/>
    <w:p>
      <w:pPr>
        <w:pStyle w:val="Heading3"/>
      </w:pPr>
      <w:r>
        <w:t xml:space="preserve">3.2.5 Scheduler</w:t>
      </w:r>
    </w:p>
    <w:p>
      <w:pPr>
        <w:pStyle w:val="FirstParagraph"/>
      </w:pPr>
      <w:r>
        <w:t xml:space="preserve">The</w:t>
      </w:r>
      <w:r>
        <w:t xml:space="preserve"> </w:t>
      </w:r>
      <w:r>
        <w:rPr>
          <w:rStyle w:val="VerbatimChar"/>
        </w:rPr>
        <w:t xml:space="preserve">Scheduler</w:t>
      </w:r>
      <w:r>
        <w:t xml:space="preserve"> </w:t>
      </w:r>
      <w:r>
        <w:t xml:space="preserve">component enables unattended execution of integration workflows using interval-based or cron-expression timing:</w:t>
      </w:r>
    </w:p>
    <w:p>
      <w:pPr>
        <w:pStyle w:val="SourceCode"/>
      </w:pPr>
      <w:r>
        <w:rPr>
          <w:rStyle w:val="NormalTok"/>
        </w:rPr>
        <w:t xml:space="preserve">linker.add_schedule(</w:t>
      </w:r>
      <w:r>
        <w:rPr>
          <w:rStyle w:val="BuiltInTok"/>
        </w:rPr>
        <w:t xml:space="preserve">type</w:t>
      </w:r>
      <w:r>
        <w:rPr>
          <w:rStyle w:val="OperatorTok"/>
        </w:rPr>
        <w:t xml:space="preserve">=</w:t>
      </w:r>
      <w:r>
        <w:rPr>
          <w:rStyle w:val="StringTok"/>
        </w:rPr>
        <w:t xml:space="preserve">"cron"</w:t>
      </w:r>
      <w:r>
        <w:rPr>
          <w:rStyle w:val="NormalTok"/>
        </w:rPr>
        <w:t xml:space="preserve">, expression</w:t>
      </w:r>
      <w:r>
        <w:rPr>
          <w:rStyle w:val="OperatorTok"/>
        </w:rPr>
        <w:t xml:space="preserve">=</w:t>
      </w:r>
      <w:r>
        <w:rPr>
          <w:rStyle w:val="StringTok"/>
        </w:rPr>
        <w:t xml:space="preserve">"0 6 * * *"</w:t>
      </w:r>
      <w:r>
        <w:rPr>
          <w:rStyle w:val="NormalTok"/>
        </w:rPr>
        <w:t xml:space="preserve">)  </w:t>
      </w:r>
      <w:r>
        <w:rPr>
          <w:rStyle w:val="CommentTok"/>
        </w:rPr>
        <w:t xml:space="preserve"># Daily at 06:00</w:t>
      </w:r>
      <w:r>
        <w:br/>
      </w:r>
      <w:r>
        <w:rPr>
          <w:rStyle w:val="NormalTok"/>
        </w:rPr>
        <w:t xml:space="preserve">linker.start_scheduled_sync()</w:t>
      </w:r>
    </w:p>
    <w:p>
      <w:pPr>
        <w:pStyle w:val="FirstParagraph"/>
      </w:pPr>
      <w:r>
        <w:t xml:space="preserve">The scheduler executes in a background thread with configurable parallelism, maintaining job state and respecting execution dependencies. Failed executions trigger configurable alerting through PagerDuty, Slack, or email integrations.</w:t>
      </w:r>
    </w:p>
    <w:bookmarkEnd w:id="20"/>
    <w:bookmarkStart w:id="21" w:name="plugin-manager"/>
    <w:p>
      <w:pPr>
        <w:pStyle w:val="Heading3"/>
      </w:pPr>
      <w:r>
        <w:t xml:space="preserve">3.2.6 Plugin Manager</w:t>
      </w:r>
    </w:p>
    <w:p>
      <w:pPr>
        <w:pStyle w:val="FirstParagraph"/>
      </w:pPr>
      <w:r>
        <w:t xml:space="preserve">The plugin architecture enables domain-specific extensions without modifying core components. Plugins may define:</w:t>
      </w:r>
    </w:p>
    <w:p>
      <w:pPr>
        <w:pStyle w:val="Compact"/>
        <w:numPr>
          <w:ilvl w:val="0"/>
          <w:numId w:val="1004"/>
        </w:numPr>
      </w:pPr>
      <w:r>
        <w:rPr>
          <w:b/>
          <w:bCs/>
        </w:rPr>
        <w:t xml:space="preserve">Custom Connectors</w:t>
      </w:r>
      <w:r>
        <w:t xml:space="preserve">: Protocol handlers for non-REST interfaces</w:t>
      </w:r>
    </w:p>
    <w:p>
      <w:pPr>
        <w:pStyle w:val="Compact"/>
        <w:numPr>
          <w:ilvl w:val="0"/>
          <w:numId w:val="1004"/>
        </w:numPr>
      </w:pPr>
      <w:r>
        <w:rPr>
          <w:b/>
          <w:bCs/>
        </w:rPr>
        <w:t xml:space="preserve">Transformers</w:t>
      </w:r>
      <w:r>
        <w:t xml:space="preserve">: Domain-specific value transformations</w:t>
      </w:r>
    </w:p>
    <w:p>
      <w:pPr>
        <w:pStyle w:val="Compact"/>
        <w:numPr>
          <w:ilvl w:val="0"/>
          <w:numId w:val="1004"/>
        </w:numPr>
      </w:pPr>
      <w:r>
        <w:rPr>
          <w:b/>
          <w:bCs/>
        </w:rPr>
        <w:t xml:space="preserve">Authentication Handlers</w:t>
      </w:r>
      <w:r>
        <w:t xml:space="preserve">: Proprietary authentication schemes</w:t>
      </w:r>
    </w:p>
    <w:p>
      <w:pPr>
        <w:pStyle w:val="Compact"/>
        <w:numPr>
          <w:ilvl w:val="0"/>
          <w:numId w:val="1004"/>
        </w:numPr>
      </w:pPr>
      <w:r>
        <w:rPr>
          <w:b/>
          <w:bCs/>
        </w:rPr>
        <w:t xml:space="preserve">Monitoring Integrations</w:t>
      </w:r>
      <w:r>
        <w:t xml:space="preserve">: Custom metrics and alerting</w:t>
      </w:r>
    </w:p>
    <w:p>
      <w:pPr>
        <w:pStyle w:val="FirstParagraph"/>
      </w:pPr>
      <w:r>
        <w:t xml:space="preserve">Plugins are discovered from specified directories or installed packages, validated against interface contracts, and registered for use in configurations.</w:t>
      </w:r>
    </w:p>
    <w:bookmarkEnd w:id="21"/>
    <w:bookmarkEnd w:id="22"/>
    <w:bookmarkStart w:id="26" w:name="error-handling-and-resilience"/>
    <w:p>
      <w:pPr>
        <w:pStyle w:val="Heading2"/>
      </w:pPr>
      <w:r>
        <w:t xml:space="preserve">3.3 Error Handling and Resilience</w:t>
      </w:r>
    </w:p>
    <w:p>
      <w:pPr>
        <w:pStyle w:val="FirstParagraph"/>
      </w:pPr>
      <w:r>
        <w:t xml:space="preserve">ApiLinker incorporates production-grade resilience patterns to maintain operational stability under real-world conditions:</w:t>
      </w:r>
    </w:p>
    <w:bookmarkStart w:id="23" w:name="retry-strategies"/>
    <w:p>
      <w:pPr>
        <w:pStyle w:val="Heading3"/>
      </w:pPr>
      <w:r>
        <w:t xml:space="preserve">3.3.1 Retry Strategies</w:t>
      </w:r>
    </w:p>
    <w:p>
      <w:pPr>
        <w:pStyle w:val="FirstParagraph"/>
      </w:pPr>
      <w:r>
        <w:t xml:space="preserve">Transient failures trigger automatic retries with configurable strategies. The default exponential backoff with jitter reduces retry clustering that can exacerbate provider-side load issues:</w:t>
      </w:r>
    </w:p>
    <w:p>
      <w:pPr>
        <w:pStyle w:val="SourceCode"/>
      </w:pPr>
      <w:r>
        <w:rPr>
          <w:rStyle w:val="FunctionTok"/>
        </w:rPr>
        <w:t xml:space="preserve">error_handling</w:t>
      </w:r>
      <w:r>
        <w:rPr>
          <w:rStyle w:val="KeywordTok"/>
        </w:rPr>
        <w:t xml:space="preserve">:</w:t>
      </w:r>
      <w:r>
        <w:br/>
      </w:r>
      <w:r>
        <w:rPr>
          <w:rStyle w:val="AttributeTok"/>
        </w:rPr>
        <w:t xml:space="preserve">  </w:t>
      </w:r>
      <w:r>
        <w:rPr>
          <w:rStyle w:val="FunctionTok"/>
        </w:rPr>
        <w:t xml:space="preserve">retry</w:t>
      </w:r>
      <w:r>
        <w:rPr>
          <w:rStyle w:val="KeywordTok"/>
        </w:rPr>
        <w:t xml:space="preserve">:</w:t>
      </w:r>
      <w:r>
        <w:br/>
      </w:r>
      <w:r>
        <w:rPr>
          <w:rStyle w:val="AttributeTok"/>
        </w:rPr>
        <w:t xml:space="preserve">    </w:t>
      </w:r>
      <w:r>
        <w:rPr>
          <w:rStyle w:val="FunctionTok"/>
        </w:rPr>
        <w:t xml:space="preserve">max_attempts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base_delay</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max_delay</w:t>
      </w:r>
      <w:r>
        <w:rPr>
          <w:rStyle w:val="KeywordTok"/>
        </w:rPr>
        <w:t xml:space="preserve">:</w:t>
      </w:r>
      <w:r>
        <w:rPr>
          <w:rStyle w:val="AttributeTok"/>
        </w:rPr>
        <w:t xml:space="preserve"> </w:t>
      </w:r>
      <w:r>
        <w:rPr>
          <w:rStyle w:val="FloatTok"/>
        </w:rPr>
        <w:t xml:space="preserve">60.0</w:t>
      </w:r>
      <w:r>
        <w:br/>
      </w:r>
      <w:r>
        <w:rPr>
          <w:rStyle w:val="AttributeTok"/>
        </w:rPr>
        <w:t xml:space="preserve">    </w:t>
      </w:r>
      <w:r>
        <w:rPr>
          <w:rStyle w:val="FunctionTok"/>
        </w:rPr>
        <w:t xml:space="preserve">backoff_strategy</w:t>
      </w:r>
      <w:r>
        <w:rPr>
          <w:rStyle w:val="KeywordTok"/>
        </w:rPr>
        <w:t xml:space="preserve">:</w:t>
      </w:r>
      <w:r>
        <w:rPr>
          <w:rStyle w:val="AttributeTok"/>
        </w:rPr>
        <w:t xml:space="preserve"> exponential_jitter</w:t>
      </w:r>
    </w:p>
    <w:bookmarkEnd w:id="23"/>
    <w:bookmarkStart w:id="24" w:name="circuit-breaker"/>
    <w:p>
      <w:pPr>
        <w:pStyle w:val="Heading3"/>
      </w:pPr>
      <w:r>
        <w:t xml:space="preserve">3.3.2 Circuit Breaker</w:t>
      </w:r>
    </w:p>
    <w:p>
      <w:pPr>
        <w:pStyle w:val="FirstParagraph"/>
      </w:pPr>
      <w:r>
        <w:t xml:space="preserve">The circuit breaker pattern</w:t>
      </w:r>
      <w:r>
        <w:t xml:space="preserve"> </w:t>
      </w:r>
      <w:r>
        <w:t xml:space="preserve">(Nygard 2018)</w:t>
      </w:r>
      <w:r>
        <w:t xml:space="preserve"> </w:t>
      </w:r>
      <w:r>
        <w:t xml:space="preserve">prevents cascading failures by temporarily isolating failing endpoints:</w:t>
      </w:r>
    </w:p>
    <w:p>
      <w:pPr>
        <w:pStyle w:val="SourceCode"/>
      </w:pPr>
      <w:r>
        <w:rPr>
          <w:rStyle w:val="FunctionTok"/>
        </w:rPr>
        <w:t xml:space="preserve">circuit_breaker</w:t>
      </w:r>
      <w:r>
        <w:rPr>
          <w:rStyle w:val="KeywordTok"/>
        </w:rPr>
        <w:t xml:space="preserve">:</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recovery_timeout</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success_threshold</w:t>
      </w:r>
      <w:r>
        <w:rPr>
          <w:rStyle w:val="KeywordTok"/>
        </w:rPr>
        <w:t xml:space="preserve">:</w:t>
      </w:r>
      <w:r>
        <w:rPr>
          <w:rStyle w:val="AttributeTok"/>
        </w:rPr>
        <w:t xml:space="preserve"> </w:t>
      </w:r>
      <w:r>
        <w:rPr>
          <w:rStyle w:val="DecValTok"/>
        </w:rPr>
        <w:t xml:space="preserve">3</w:t>
      </w:r>
    </w:p>
    <w:p>
      <w:pPr>
        <w:pStyle w:val="FirstParagraph"/>
      </w:pPr>
      <w:r>
        <w:t xml:space="preserve">When consecutive failures exceed the threshold, the circuit opens, failing fast for subsequent requests until the recovery timeout permits trial requests.</w:t>
      </w:r>
    </w:p>
    <w:bookmarkEnd w:id="24"/>
    <w:bookmarkStart w:id="25" w:name="dead-letter-queue"/>
    <w:p>
      <w:pPr>
        <w:pStyle w:val="Heading3"/>
      </w:pPr>
      <w:r>
        <w:t xml:space="preserve">3.3.3 Dead-Letter Queue</w:t>
      </w:r>
    </w:p>
    <w:p>
      <w:pPr>
        <w:pStyle w:val="FirstParagraph"/>
      </w:pPr>
      <w:r>
        <w:t xml:space="preserve">Operations that exhaust retry attempts are captured in a dead-letter queue (DLQ)</w:t>
      </w:r>
      <w:r>
        <w:t xml:space="preserve"> </w:t>
      </w:r>
      <w:r>
        <w:t xml:space="preserve">(Hohpe and Woolf 2003)</w:t>
      </w:r>
      <w:r>
        <w:t xml:space="preserve"> </w:t>
      </w:r>
      <w:r>
        <w:t xml:space="preserve">for subsequent analysis and replay:</w:t>
      </w:r>
    </w:p>
    <w:p>
      <w:pPr>
        <w:pStyle w:val="SourceCode"/>
      </w:pPr>
      <w:r>
        <w:rPr>
          <w:rStyle w:val="FunctionTok"/>
        </w:rPr>
        <w:t xml:space="preserve">dlq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storage</w:t>
      </w:r>
      <w:r>
        <w:rPr>
          <w:rStyle w:val="KeywordTok"/>
        </w:rPr>
        <w:t xml:space="preserve">:</w:t>
      </w:r>
      <w:r>
        <w:rPr>
          <w:rStyle w:val="AttributeTok"/>
        </w:rPr>
        <w:t xml:space="preserve"> file</w:t>
      </w:r>
      <w:r>
        <w:br/>
      </w:r>
      <w:r>
        <w:rPr>
          <w:rStyle w:val="AttributeTok"/>
        </w:rPr>
        <w:t xml:space="preserve">  </w:t>
      </w:r>
      <w:r>
        <w:rPr>
          <w:rStyle w:val="FunctionTok"/>
        </w:rPr>
        <w:t xml:space="preserve">path</w:t>
      </w:r>
      <w:r>
        <w:rPr>
          <w:rStyle w:val="KeywordTok"/>
        </w:rPr>
        <w:t xml:space="preserve">:</w:t>
      </w:r>
      <w:r>
        <w:rPr>
          <w:rStyle w:val="AttributeTok"/>
        </w:rPr>
        <w:t xml:space="preserve"> ./dlq</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3</w:t>
      </w:r>
    </w:p>
    <w:p>
      <w:pPr>
        <w:pStyle w:val="FirstParagraph"/>
      </w:pPr>
      <w:r>
        <w:t xml:space="preserve">The DLQ preserves operation context, error details, and stack traces, supporting both automated replay and manual investigation.</w:t>
      </w:r>
    </w:p>
    <w:bookmarkEnd w:id="25"/>
    <w:bookmarkEnd w:id="26"/>
    <w:bookmarkStart w:id="27" w:name="observability"/>
    <w:p>
      <w:pPr>
        <w:pStyle w:val="Heading2"/>
      </w:pPr>
      <w:r>
        <w:t xml:space="preserve">3.4 Observability</w:t>
      </w:r>
    </w:p>
    <w:p>
      <w:pPr>
        <w:pStyle w:val="FirstParagraph"/>
      </w:pPr>
      <w:r>
        <w:t xml:space="preserve">Production deployments benefit from OpenTelemetry integration providing distributed tracing and Prometheus-compatible metrics:</w:t>
      </w:r>
    </w:p>
    <w:p>
      <w:pPr>
        <w:pStyle w:val="SourceCode"/>
      </w:pPr>
      <w:r>
        <w:rPr>
          <w:rStyle w:val="FunctionTok"/>
        </w:rPr>
        <w:t xml:space="preserve">observability</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service_name</w:t>
      </w:r>
      <w:r>
        <w:rPr>
          <w:rStyle w:val="KeywordTok"/>
        </w:rPr>
        <w:t xml:space="preserve">:</w:t>
      </w:r>
      <w:r>
        <w:rPr>
          <w:rStyle w:val="AttributeTok"/>
        </w:rPr>
        <w:t xml:space="preserve"> research-pipeline</w:t>
      </w:r>
      <w:r>
        <w:br/>
      </w:r>
      <w:r>
        <w:rPr>
          <w:rStyle w:val="AttributeTok"/>
        </w:rPr>
        <w:t xml:space="preserve">  </w:t>
      </w:r>
      <w:r>
        <w:rPr>
          <w:rStyle w:val="FunctionTok"/>
        </w:rPr>
        <w:t xml:space="preserve">export_to_prometheus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prometheus_port</w:t>
      </w:r>
      <w:r>
        <w:rPr>
          <w:rStyle w:val="KeywordTok"/>
        </w:rPr>
        <w:t xml:space="preserve">:</w:t>
      </w:r>
      <w:r>
        <w:rPr>
          <w:rStyle w:val="AttributeTok"/>
        </w:rPr>
        <w:t xml:space="preserve"> </w:t>
      </w:r>
      <w:r>
        <w:rPr>
          <w:rStyle w:val="DecValTok"/>
        </w:rPr>
        <w:t xml:space="preserve">9090</w:t>
      </w:r>
    </w:p>
    <w:p>
      <w:pPr>
        <w:pStyle w:val="FirstParagraph"/>
      </w:pPr>
      <w:r>
        <w:t xml:space="preserve">Instrumentation captures sync operation duration, API call latency, error rates by category, and throughput metrics. Trace context propagates through the request lifecycle, supporting correlation across distributed components.</w:t>
      </w:r>
    </w:p>
    <w:bookmarkEnd w:id="27"/>
    <w:bookmarkEnd w:id="28"/>
    <w:bookmarkStart w:id="35" w:name="Xd9eba1be9952e9123b5db10ecb4f07947419ed0"/>
    <w:p>
      <w:pPr>
        <w:pStyle w:val="Heading1"/>
      </w:pPr>
      <w:r>
        <w:t xml:space="preserve">4. Scientific Connectors for Research Workflows</w:t>
      </w:r>
    </w:p>
    <w:p>
      <w:pPr>
        <w:pStyle w:val="FirstParagraph"/>
      </w:pPr>
      <w:r>
        <w:t xml:space="preserve">A distinguishing feature of ApiLinker is its provision of pre-built connectors for research-oriented APIs, enabling immediate productivity for common scientific integration scenarios.</w:t>
      </w:r>
    </w:p>
    <w:bookmarkStart w:id="29" w:name="ncbi-e-utilities"/>
    <w:p>
      <w:pPr>
        <w:pStyle w:val="Heading2"/>
      </w:pPr>
      <w:r>
        <w:t xml:space="preserve">4.1 NCBI E-utilities</w:t>
      </w:r>
    </w:p>
    <w:p>
      <w:pPr>
        <w:pStyle w:val="FirstParagraph"/>
      </w:pPr>
      <w:r>
        <w:t xml:space="preserve">The</w:t>
      </w:r>
      <w:r>
        <w:t xml:space="preserve"> </w:t>
      </w:r>
      <w:r>
        <w:rPr>
          <w:rStyle w:val="VerbatimChar"/>
        </w:rPr>
        <w:t xml:space="preserve">NCBIConnector</w:t>
      </w:r>
      <w:r>
        <w:t xml:space="preserve"> </w:t>
      </w:r>
      <w:r>
        <w:t xml:space="preserve">provides comprehensive access to National Center for Biotechnology Information databases including PubMed, GenBank, ClinVar, and GEO. The connector implements NCBI E-utilities protocols with appropriate rate limiting and tool/email identification:</w:t>
      </w:r>
    </w:p>
    <w:p>
      <w:pPr>
        <w:pStyle w:val="SourceCode"/>
      </w:pPr>
      <w:r>
        <w:rPr>
          <w:rStyle w:val="ImportTok"/>
        </w:rPr>
        <w:t xml:space="preserve">from</w:t>
      </w:r>
      <w:r>
        <w:rPr>
          <w:rStyle w:val="NormalTok"/>
        </w:rPr>
        <w:t xml:space="preserve"> apilinker </w:t>
      </w:r>
      <w:r>
        <w:rPr>
          <w:rStyle w:val="ImportTok"/>
        </w:rPr>
        <w:t xml:space="preserve">import</w:t>
      </w:r>
      <w:r>
        <w:rPr>
          <w:rStyle w:val="NormalTok"/>
        </w:rPr>
        <w:t xml:space="preserve"> NCBIConnector</w:t>
      </w:r>
      <w:r>
        <w:br/>
      </w:r>
      <w:r>
        <w:br/>
      </w:r>
      <w:r>
        <w:rPr>
          <w:rStyle w:val="NormalTok"/>
        </w:rPr>
        <w:t xml:space="preserve">ncbi </w:t>
      </w:r>
      <w:r>
        <w:rPr>
          <w:rStyle w:val="OperatorTok"/>
        </w:rPr>
        <w:t xml:space="preserve">=</w:t>
      </w:r>
      <w:r>
        <w:rPr>
          <w:rStyle w:val="NormalTok"/>
        </w:rPr>
        <w:t xml:space="preserve"> NCBIConnector(email</w:t>
      </w:r>
      <w:r>
        <w:rPr>
          <w:rStyle w:val="OperatorTok"/>
        </w:rPr>
        <w:t xml:space="preserve">=</w:t>
      </w:r>
      <w:r>
        <w:rPr>
          <w:rStyle w:val="StringTok"/>
        </w:rPr>
        <w:t xml:space="preserve">"researcher@institution.edu"</w:t>
      </w:r>
      <w:r>
        <w:rPr>
          <w:rStyle w:val="NormalTok"/>
        </w:rPr>
        <w:t xml:space="preserve">, api_key</w:t>
      </w:r>
      <w:r>
        <w:rPr>
          <w:rStyle w:val="OperatorTok"/>
        </w:rPr>
        <w:t xml:space="preserve">=</w:t>
      </w:r>
      <w:r>
        <w:rPr>
          <w:rStyle w:val="StringTok"/>
        </w:rPr>
        <w:t xml:space="preserve">"..."</w:t>
      </w:r>
      <w:r>
        <w:rPr>
          <w:rStyle w:val="NormalTok"/>
        </w:rPr>
        <w:t xml:space="preserve">)</w:t>
      </w:r>
      <w:r>
        <w:br/>
      </w:r>
      <w:r>
        <w:rPr>
          <w:rStyle w:val="NormalTok"/>
        </w:rPr>
        <w:t xml:space="preserve">results </w:t>
      </w:r>
      <w:r>
        <w:rPr>
          <w:rStyle w:val="OperatorTok"/>
        </w:rPr>
        <w:t xml:space="preserve">=</w:t>
      </w:r>
      <w:r>
        <w:rPr>
          <w:rStyle w:val="NormalTok"/>
        </w:rPr>
        <w:t xml:space="preserve"> ncbi.search_pubmed(</w:t>
      </w:r>
      <w:r>
        <w:rPr>
          <w:rStyle w:val="StringTok"/>
        </w:rPr>
        <w:t xml:space="preserve">"CRISPR gene editing"</w:t>
      </w:r>
      <w:r>
        <w:rPr>
          <w:rStyle w:val="NormalTok"/>
        </w:rPr>
        <w:t xml:space="preserve">, max_results</w:t>
      </w:r>
      <w:r>
        <w:rPr>
          <w:rStyle w:val="OperatorTok"/>
        </w:rPr>
        <w:t xml:space="preserve">=</w:t>
      </w:r>
      <w:r>
        <w:rPr>
          <w:rStyle w:val="DecValTok"/>
        </w:rPr>
        <w:t xml:space="preserve">500</w:t>
      </w:r>
      <w:r>
        <w:rPr>
          <w:rStyle w:val="NormalTok"/>
        </w:rPr>
        <w:t xml:space="preserve">)</w:t>
      </w:r>
      <w:r>
        <w:br/>
      </w:r>
      <w:r>
        <w:rPr>
          <w:rStyle w:val="NormalTok"/>
        </w:rPr>
        <w:t xml:space="preserve">summaries </w:t>
      </w:r>
      <w:r>
        <w:rPr>
          <w:rStyle w:val="OperatorTok"/>
        </w:rPr>
        <w:t xml:space="preserve">=</w:t>
      </w:r>
      <w:r>
        <w:rPr>
          <w:rStyle w:val="NormalTok"/>
        </w:rPr>
        <w:t xml:space="preserve"> ncbi.get_article_summaries(results[</w:t>
      </w:r>
      <w:r>
        <w:rPr>
          <w:rStyle w:val="StringTok"/>
        </w:rPr>
        <w:t xml:space="preserve">'esearchresult'</w:t>
      </w:r>
      <w:r>
        <w:rPr>
          <w:rStyle w:val="NormalTok"/>
        </w:rPr>
        <w:t xml:space="preserve">][</w:t>
      </w:r>
      <w:r>
        <w:rPr>
          <w:rStyle w:val="StringTok"/>
        </w:rPr>
        <w:t xml:space="preserve">'idlist'</w:t>
      </w:r>
      <w:r>
        <w:rPr>
          <w:rStyle w:val="NormalTok"/>
        </w:rPr>
        <w:t xml:space="preserve">])</w:t>
      </w:r>
    </w:p>
    <w:p>
      <w:pPr>
        <w:pStyle w:val="FirstParagraph"/>
      </w:pPr>
      <w:r>
        <w:t xml:space="preserve">Batch operations respect NCBI guidelines for request frequency and batch sizes, automatically chunking large requests to remain within service limits.</w:t>
      </w:r>
    </w:p>
    <w:bookmarkEnd w:id="29"/>
    <w:bookmarkStart w:id="30" w:name="arxiv"/>
    <w:p>
      <w:pPr>
        <w:pStyle w:val="Heading2"/>
      </w:pPr>
      <w:r>
        <w:t xml:space="preserve">4.2 arXiv</w:t>
      </w:r>
    </w:p>
    <w:p>
      <w:pPr>
        <w:pStyle w:val="FirstParagraph"/>
      </w:pPr>
      <w:r>
        <w:t xml:space="preserve">The</w:t>
      </w:r>
      <w:r>
        <w:t xml:space="preserve"> </w:t>
      </w:r>
      <w:r>
        <w:rPr>
          <w:rStyle w:val="VerbatimChar"/>
        </w:rPr>
        <w:t xml:space="preserve">ArXivConnector</w:t>
      </w:r>
      <w:r>
        <w:t xml:space="preserve"> </w:t>
      </w:r>
      <w:r>
        <w:t xml:space="preserve">interfaces with the arXiv API for preprint discovery and metadata retrieval. The connector parses Atom XML responses into structured dictionaries and supports category filtering:</w:t>
      </w:r>
    </w:p>
    <w:p>
      <w:pPr>
        <w:pStyle w:val="SourceCode"/>
      </w:pPr>
      <w:r>
        <w:rPr>
          <w:rStyle w:val="ImportTok"/>
        </w:rPr>
        <w:t xml:space="preserve">from</w:t>
      </w:r>
      <w:r>
        <w:rPr>
          <w:rStyle w:val="NormalTok"/>
        </w:rPr>
        <w:t xml:space="preserve"> apilinker </w:t>
      </w:r>
      <w:r>
        <w:rPr>
          <w:rStyle w:val="ImportTok"/>
        </w:rPr>
        <w:t xml:space="preserve">import</w:t>
      </w:r>
      <w:r>
        <w:rPr>
          <w:rStyle w:val="NormalTok"/>
        </w:rPr>
        <w:t xml:space="preserve"> ArXivConnector</w:t>
      </w:r>
      <w:r>
        <w:br/>
      </w:r>
      <w:r>
        <w:br/>
      </w:r>
      <w:r>
        <w:rPr>
          <w:rStyle w:val="NormalTok"/>
        </w:rPr>
        <w:t xml:space="preserve">arxiv </w:t>
      </w:r>
      <w:r>
        <w:rPr>
          <w:rStyle w:val="OperatorTok"/>
        </w:rPr>
        <w:t xml:space="preserve">=</w:t>
      </w:r>
      <w:r>
        <w:rPr>
          <w:rStyle w:val="NormalTok"/>
        </w:rPr>
        <w:t xml:space="preserve"> ArXivConnector()</w:t>
      </w:r>
      <w:r>
        <w:br/>
      </w:r>
      <w:r>
        <w:rPr>
          <w:rStyle w:val="NormalTok"/>
        </w:rPr>
        <w:t xml:space="preserve">papers </w:t>
      </w:r>
      <w:r>
        <w:rPr>
          <w:rStyle w:val="OperatorTok"/>
        </w:rPr>
        <w:t xml:space="preserve">=</w:t>
      </w:r>
      <w:r>
        <w:rPr>
          <w:rStyle w:val="NormalTok"/>
        </w:rPr>
        <w:t xml:space="preserve"> arxiv.search_papers(</w:t>
      </w:r>
      <w:r>
        <w:br/>
      </w:r>
      <w:r>
        <w:rPr>
          <w:rStyle w:val="NormalTok"/>
        </w:rPr>
        <w:t xml:space="preserve">    </w:t>
      </w:r>
      <w:r>
        <w:rPr>
          <w:rStyle w:val="StringTok"/>
        </w:rPr>
        <w:t xml:space="preserve">"machine learning + protein folding"</w:t>
      </w:r>
      <w:r>
        <w:rPr>
          <w:rStyle w:val="NormalTok"/>
        </w:rPr>
        <w:t xml:space="preserve">,</w:t>
      </w:r>
      <w:r>
        <w:br/>
      </w:r>
      <w:r>
        <w:rPr>
          <w:rStyle w:val="NormalTok"/>
        </w:rPr>
        <w:t xml:space="preserve">    categories</w:t>
      </w:r>
      <w:r>
        <w:rPr>
          <w:rStyle w:val="OperatorTok"/>
        </w:rPr>
        <w:t xml:space="preserve">=</w:t>
      </w:r>
      <w:r>
        <w:rPr>
          <w:rStyle w:val="NormalTok"/>
        </w:rPr>
        <w:t xml:space="preserve">[</w:t>
      </w:r>
      <w:r>
        <w:rPr>
          <w:rStyle w:val="StringTok"/>
        </w:rPr>
        <w:t xml:space="preserve">"cs.LG"</w:t>
      </w:r>
      <w:r>
        <w:rPr>
          <w:rStyle w:val="NormalTok"/>
        </w:rPr>
        <w:t xml:space="preserve">, </w:t>
      </w:r>
      <w:r>
        <w:rPr>
          <w:rStyle w:val="StringTok"/>
        </w:rPr>
        <w:t xml:space="preserve">"q-bio.BM"</w:t>
      </w:r>
      <w:r>
        <w:rPr>
          <w:rStyle w:val="NormalTok"/>
        </w:rPr>
        <w:t xml:space="preserve">],</w:t>
      </w:r>
      <w:r>
        <w:br/>
      </w:r>
      <w:r>
        <w:rPr>
          <w:rStyle w:val="NormalTok"/>
        </w:rPr>
        <w:t xml:space="preserve">    max_results</w:t>
      </w:r>
      <w:r>
        <w:rPr>
          <w:rStyle w:val="OperatorTok"/>
        </w:rPr>
        <w:t xml:space="preserve">=</w:t>
      </w:r>
      <w:r>
        <w:rPr>
          <w:rStyle w:val="DecValTok"/>
        </w:rPr>
        <w:t xml:space="preserve">200</w:t>
      </w:r>
      <w:r>
        <w:br/>
      </w:r>
      <w:r>
        <w:rPr>
          <w:rStyle w:val="NormalTok"/>
        </w:rPr>
        <w:t xml:space="preserve">)</w:t>
      </w:r>
    </w:p>
    <w:bookmarkEnd w:id="30"/>
    <w:bookmarkStart w:id="31" w:name="crossref-and-semantic-scholar"/>
    <w:p>
      <w:pPr>
        <w:pStyle w:val="Heading2"/>
      </w:pPr>
      <w:r>
        <w:t xml:space="preserve">4.3 CrossRef and Semantic Scholar</w:t>
      </w:r>
    </w:p>
    <w:p>
      <w:pPr>
        <w:pStyle w:val="FirstParagraph"/>
      </w:pPr>
      <w:r>
        <w:t xml:space="preserve">Connectors for CrossRef and Semantic Scholar enable bibliographic enrichment workflows fundamental to systematic literature reviews and citation analysis. The</w:t>
      </w:r>
      <w:r>
        <w:t xml:space="preserve"> </w:t>
      </w:r>
      <w:r>
        <w:rPr>
          <w:rStyle w:val="VerbatimChar"/>
        </w:rPr>
        <w:t xml:space="preserve">CrossRefConnector</w:t>
      </w:r>
      <w:r>
        <w:t xml:space="preserve"> </w:t>
      </w:r>
      <w:r>
        <w:t xml:space="preserve">interfaces with CrossRef’s REST API, supporting queries by DOI, title search, author name, and ISSN. Response handling normalises the nested JSON structures common in CrossRef responses into flat records suitable for tabular export:</w:t>
      </w:r>
    </w:p>
    <w:p>
      <w:pPr>
        <w:pStyle w:val="SourceCode"/>
      </w:pPr>
      <w:r>
        <w:rPr>
          <w:rStyle w:val="ImportTok"/>
        </w:rPr>
        <w:t xml:space="preserve">from</w:t>
      </w:r>
      <w:r>
        <w:rPr>
          <w:rStyle w:val="NormalTok"/>
        </w:rPr>
        <w:t xml:space="preserve"> apilinker </w:t>
      </w:r>
      <w:r>
        <w:rPr>
          <w:rStyle w:val="ImportTok"/>
        </w:rPr>
        <w:t xml:space="preserve">import</w:t>
      </w:r>
      <w:r>
        <w:rPr>
          <w:rStyle w:val="NormalTok"/>
        </w:rPr>
        <w:t xml:space="preserve"> CrossRefConnector</w:t>
      </w:r>
      <w:r>
        <w:br/>
      </w:r>
      <w:r>
        <w:br/>
      </w:r>
      <w:r>
        <w:rPr>
          <w:rStyle w:val="NormalTok"/>
        </w:rPr>
        <w:t xml:space="preserve">crossref </w:t>
      </w:r>
      <w:r>
        <w:rPr>
          <w:rStyle w:val="OperatorTok"/>
        </w:rPr>
        <w:t xml:space="preserve">=</w:t>
      </w:r>
      <w:r>
        <w:rPr>
          <w:rStyle w:val="NormalTok"/>
        </w:rPr>
        <w:t xml:space="preserve"> CrossRefConnector(email</w:t>
      </w:r>
      <w:r>
        <w:rPr>
          <w:rStyle w:val="OperatorTok"/>
        </w:rPr>
        <w:t xml:space="preserve">=</w:t>
      </w:r>
      <w:r>
        <w:rPr>
          <w:rStyle w:val="StringTok"/>
        </w:rPr>
        <w:t xml:space="preserve">"researcher@institution.edu"</w:t>
      </w:r>
      <w:r>
        <w:rPr>
          <w:rStyle w:val="NormalTok"/>
        </w:rPr>
        <w:t xml:space="preserve">)</w:t>
      </w:r>
      <w:r>
        <w:br/>
      </w:r>
      <w:r>
        <w:rPr>
          <w:rStyle w:val="NormalTok"/>
        </w:rPr>
        <w:t xml:space="preserve">works </w:t>
      </w:r>
      <w:r>
        <w:rPr>
          <w:rStyle w:val="OperatorTok"/>
        </w:rPr>
        <w:t xml:space="preserve">=</w:t>
      </w:r>
      <w:r>
        <w:rPr>
          <w:rStyle w:val="NormalTok"/>
        </w:rPr>
        <w:t xml:space="preserve"> crossref.search_works(</w:t>
      </w:r>
      <w:r>
        <w:br/>
      </w:r>
      <w:r>
        <w:rPr>
          <w:rStyle w:val="NormalTok"/>
        </w:rPr>
        <w:t xml:space="preserve">    query</w:t>
      </w:r>
      <w:r>
        <w:rPr>
          <w:rStyle w:val="OperatorTok"/>
        </w:rPr>
        <w:t xml:space="preserve">=</w:t>
      </w:r>
      <w:r>
        <w:rPr>
          <w:rStyle w:val="StringTok"/>
        </w:rPr>
        <w:t xml:space="preserve">"climate change mitigation"</w:t>
      </w:r>
      <w:r>
        <w:rPr>
          <w:rStyle w:val="NormalTok"/>
        </w:rPr>
        <w:t xml:space="preserve">,</w:t>
      </w:r>
      <w:r>
        <w:br/>
      </w:r>
      <w:r>
        <w:rPr>
          <w:rStyle w:val="NormalTok"/>
        </w:rPr>
        <w:t xml:space="preserve">    filters</w:t>
      </w:r>
      <w:r>
        <w:rPr>
          <w:rStyle w:val="OperatorTok"/>
        </w:rPr>
        <w:t xml:space="preserve">=</w:t>
      </w:r>
      <w:r>
        <w:rPr>
          <w:rStyle w:val="NormalTok"/>
        </w:rPr>
        <w:t xml:space="preserve">{</w:t>
      </w:r>
      <w:r>
        <w:rPr>
          <w:rStyle w:val="StringTok"/>
        </w:rPr>
        <w:t xml:space="preserve">"from-pub-date"</w:t>
      </w:r>
      <w:r>
        <w:rPr>
          <w:rStyle w:val="NormalTok"/>
        </w:rPr>
        <w:t xml:space="preserve">: </w:t>
      </w:r>
      <w:r>
        <w:rPr>
          <w:rStyle w:val="StringTok"/>
        </w:rPr>
        <w:t xml:space="preserve">"2020"</w:t>
      </w:r>
      <w:r>
        <w:rPr>
          <w:rStyle w:val="NormalTok"/>
        </w:rPr>
        <w:t xml:space="preserve">, </w:t>
      </w:r>
      <w:r>
        <w:rPr>
          <w:rStyle w:val="StringTok"/>
        </w:rPr>
        <w:t xml:space="preserve">"type"</w:t>
      </w:r>
      <w:r>
        <w:rPr>
          <w:rStyle w:val="NormalTok"/>
        </w:rPr>
        <w:t xml:space="preserve">: </w:t>
      </w:r>
      <w:r>
        <w:rPr>
          <w:rStyle w:val="StringTok"/>
        </w:rPr>
        <w:t xml:space="preserve">"journal-article"</w:t>
      </w:r>
      <w:r>
        <w:rPr>
          <w:rStyle w:val="NormalTok"/>
        </w:rPr>
        <w:t xml:space="preserve">},</w:t>
      </w:r>
      <w:r>
        <w:br/>
      </w:r>
      <w:r>
        <w:rPr>
          <w:rStyle w:val="NormalTok"/>
        </w:rPr>
        <w:t xml:space="preserve">    max_results</w:t>
      </w:r>
      <w:r>
        <w:rPr>
          <w:rStyle w:val="OperatorTok"/>
        </w:rPr>
        <w:t xml:space="preserve">=</w:t>
      </w:r>
      <w:r>
        <w:rPr>
          <w:rStyle w:val="DecValTok"/>
        </w:rPr>
        <w:t xml:space="preserve">1000</w:t>
      </w:r>
      <w:r>
        <w:br/>
      </w:r>
      <w:r>
        <w:rPr>
          <w:rStyle w:val="NormalTok"/>
        </w:rPr>
        <w:t xml:space="preserve">)</w:t>
      </w:r>
    </w:p>
    <w:p>
      <w:pPr>
        <w:pStyle w:val="FirstParagraph"/>
      </w:pPr>
      <w:r>
        <w:t xml:space="preserve">The</w:t>
      </w:r>
      <w:r>
        <w:t xml:space="preserve"> </w:t>
      </w:r>
      <w:r>
        <w:rPr>
          <w:rStyle w:val="VerbatimChar"/>
        </w:rPr>
        <w:t xml:space="preserve">SemanticScholarConnector</w:t>
      </w:r>
      <w:r>
        <w:t xml:space="preserve"> </w:t>
      </w:r>
      <w:r>
        <w:t xml:space="preserve">provides access to Semantic Scholar’s paper and author databases, enabling citation count retrieval, reference network exploration, and influential citation identification. Integration between CrossRef and Semantic Scholar enables enrichment workflows that combine bibliographic metadata from CrossRef with citation metrics from Semantic Scholar.</w:t>
      </w:r>
    </w:p>
    <w:bookmarkEnd w:id="31"/>
    <w:bookmarkStart w:id="32" w:name="pubchem-and-chemical-informatics"/>
    <w:p>
      <w:pPr>
        <w:pStyle w:val="Heading2"/>
      </w:pPr>
      <w:r>
        <w:t xml:space="preserve">4.4 PubChem and Chemical Informatics</w:t>
      </w:r>
    </w:p>
    <w:p>
      <w:pPr>
        <w:pStyle w:val="FirstParagraph"/>
      </w:pPr>
      <w:r>
        <w:t xml:space="preserve">The</w:t>
      </w:r>
      <w:r>
        <w:t xml:space="preserve"> </w:t>
      </w:r>
      <w:r>
        <w:rPr>
          <w:rStyle w:val="VerbatimChar"/>
        </w:rPr>
        <w:t xml:space="preserve">PubChemConnector</w:t>
      </w:r>
      <w:r>
        <w:t xml:space="preserve"> </w:t>
      </w:r>
      <w:r>
        <w:t xml:space="preserve">supports chemical compound queries by name, structure, and molecular formula, returning compound identifiers (CIDs), SMILES representations, and associated bioactivity data. This connector facilitates cheminformatics workflows that correlate literature mentions with compound properties:</w:t>
      </w:r>
    </w:p>
    <w:p>
      <w:pPr>
        <w:pStyle w:val="SourceCode"/>
      </w:pPr>
      <w:r>
        <w:rPr>
          <w:rStyle w:val="ImportTok"/>
        </w:rPr>
        <w:t xml:space="preserve">from</w:t>
      </w:r>
      <w:r>
        <w:rPr>
          <w:rStyle w:val="NormalTok"/>
        </w:rPr>
        <w:t xml:space="preserve"> apilinker </w:t>
      </w:r>
      <w:r>
        <w:rPr>
          <w:rStyle w:val="ImportTok"/>
        </w:rPr>
        <w:t xml:space="preserve">import</w:t>
      </w:r>
      <w:r>
        <w:rPr>
          <w:rStyle w:val="NormalTok"/>
        </w:rPr>
        <w:t xml:space="preserve"> PubChemConnector</w:t>
      </w:r>
      <w:r>
        <w:br/>
      </w:r>
      <w:r>
        <w:br/>
      </w:r>
      <w:r>
        <w:rPr>
          <w:rStyle w:val="NormalTok"/>
        </w:rPr>
        <w:t xml:space="preserve">pubchem </w:t>
      </w:r>
      <w:r>
        <w:rPr>
          <w:rStyle w:val="OperatorTok"/>
        </w:rPr>
        <w:t xml:space="preserve">=</w:t>
      </w:r>
      <w:r>
        <w:rPr>
          <w:rStyle w:val="NormalTok"/>
        </w:rPr>
        <w:t xml:space="preserve"> PubChemConnector()</w:t>
      </w:r>
      <w:r>
        <w:br/>
      </w:r>
      <w:r>
        <w:rPr>
          <w:rStyle w:val="NormalTok"/>
        </w:rPr>
        <w:t xml:space="preserve">compound </w:t>
      </w:r>
      <w:r>
        <w:rPr>
          <w:rStyle w:val="OperatorTok"/>
        </w:rPr>
        <w:t xml:space="preserve">=</w:t>
      </w:r>
      <w:r>
        <w:rPr>
          <w:rStyle w:val="NormalTok"/>
        </w:rPr>
        <w:t xml:space="preserve"> pubchem.search_by_name(</w:t>
      </w:r>
      <w:r>
        <w:rPr>
          <w:rStyle w:val="StringTok"/>
        </w:rPr>
        <w:t xml:space="preserve">"aspirin"</w:t>
      </w:r>
      <w:r>
        <w:rPr>
          <w:rStyle w:val="NormalTok"/>
        </w:rPr>
        <w:t xml:space="preserve">)</w:t>
      </w:r>
      <w:r>
        <w:br/>
      </w:r>
      <w:r>
        <w:rPr>
          <w:rStyle w:val="NormalTok"/>
        </w:rPr>
        <w:t xml:space="preserve">properties </w:t>
      </w:r>
      <w:r>
        <w:rPr>
          <w:rStyle w:val="OperatorTok"/>
        </w:rPr>
        <w:t xml:space="preserve">=</w:t>
      </w:r>
      <w:r>
        <w:rPr>
          <w:rStyle w:val="NormalTok"/>
        </w:rPr>
        <w:t xml:space="preserve"> pubchem.get_compound_properties(</w:t>
      </w:r>
      <w:r>
        <w:br/>
      </w:r>
      <w:r>
        <w:rPr>
          <w:rStyle w:val="NormalTok"/>
        </w:rPr>
        <w:t xml:space="preserve">    compound[</w:t>
      </w:r>
      <w:r>
        <w:rPr>
          <w:rStyle w:val="StringTok"/>
        </w:rPr>
        <w:t xml:space="preserve">'CID'</w:t>
      </w:r>
      <w:r>
        <w:rPr>
          <w:rStyle w:val="NormalTok"/>
        </w:rPr>
        <w:t xml:space="preserve">],</w:t>
      </w:r>
      <w:r>
        <w:br/>
      </w:r>
      <w:r>
        <w:rPr>
          <w:rStyle w:val="NormalTok"/>
        </w:rPr>
        <w:t xml:space="preserve">    properties</w:t>
      </w:r>
      <w:r>
        <w:rPr>
          <w:rStyle w:val="OperatorTok"/>
        </w:rPr>
        <w:t xml:space="preserve">=</w:t>
      </w:r>
      <w:r>
        <w:rPr>
          <w:rStyle w:val="NormalTok"/>
        </w:rPr>
        <w:t xml:space="preserve">[</w:t>
      </w:r>
      <w:r>
        <w:rPr>
          <w:rStyle w:val="StringTok"/>
        </w:rPr>
        <w:t xml:space="preserve">"MolecularFormula"</w:t>
      </w:r>
      <w:r>
        <w:rPr>
          <w:rStyle w:val="NormalTok"/>
        </w:rPr>
        <w:t xml:space="preserve">, </w:t>
      </w:r>
      <w:r>
        <w:rPr>
          <w:rStyle w:val="StringTok"/>
        </w:rPr>
        <w:t xml:space="preserve">"MolecularWeight"</w:t>
      </w:r>
      <w:r>
        <w:rPr>
          <w:rStyle w:val="NormalTok"/>
        </w:rPr>
        <w:t xml:space="preserve">, </w:t>
      </w:r>
      <w:r>
        <w:rPr>
          <w:rStyle w:val="StringTok"/>
        </w:rPr>
        <w:t xml:space="preserve">"CanonicalSMILES"</w:t>
      </w:r>
      <w:r>
        <w:rPr>
          <w:rStyle w:val="NormalTok"/>
        </w:rPr>
        <w:t xml:space="preserve">]</w:t>
      </w:r>
      <w:r>
        <w:br/>
      </w:r>
      <w:r>
        <w:rPr>
          <w:rStyle w:val="NormalTok"/>
        </w:rPr>
        <w:t xml:space="preserve">)</w:t>
      </w:r>
    </w:p>
    <w:bookmarkEnd w:id="32"/>
    <w:bookmarkStart w:id="33" w:name="orcid-and-researcher-identification"/>
    <w:p>
      <w:pPr>
        <w:pStyle w:val="Heading2"/>
      </w:pPr>
      <w:r>
        <w:t xml:space="preserve">4.5 ORCID and Researcher Identification</w:t>
      </w:r>
    </w:p>
    <w:p>
      <w:pPr>
        <w:pStyle w:val="FirstParagraph"/>
      </w:pPr>
      <w:r>
        <w:t xml:space="preserve">The</w:t>
      </w:r>
      <w:r>
        <w:t xml:space="preserve"> </w:t>
      </w:r>
      <w:r>
        <w:rPr>
          <w:rStyle w:val="VerbatimChar"/>
        </w:rPr>
        <w:t xml:space="preserve">ORCIDConnector</w:t>
      </w:r>
      <w:r>
        <w:t xml:space="preserve"> </w:t>
      </w:r>
      <w:r>
        <w:t xml:space="preserve">interfaces with the ORCID registry to retrieve researcher profiles, publication lists, and institutional affiliations. This connector supports researcher disambiguation workflows essential for accurate bibliometric analysis.</w:t>
      </w:r>
    </w:p>
    <w:bookmarkEnd w:id="33"/>
    <w:bookmarkStart w:id="34" w:name="general-purpose-connectors"/>
    <w:p>
      <w:pPr>
        <w:pStyle w:val="Heading2"/>
      </w:pPr>
      <w:r>
        <w:t xml:space="preserve">4.6 General-Purpose Connectors</w:t>
      </w:r>
    </w:p>
    <w:p>
      <w:pPr>
        <w:pStyle w:val="FirstParagraph"/>
      </w:pPr>
      <w:r>
        <w:t xml:space="preserve">The framework includes connectors for GitHub (repository metadata, issues, pull requests) and NASA (earth observation imagery, climate data) that demonstrate the framework’s applicability beyond bibliographic use cases. These connectors serve as implementation references for users developing custom connectors for domain-specific services.</w:t>
      </w:r>
    </w:p>
    <w:bookmarkEnd w:id="34"/>
    <w:bookmarkEnd w:id="35"/>
    <w:bookmarkStart w:id="39" w:name="evaluation"/>
    <w:p>
      <w:pPr>
        <w:pStyle w:val="Heading1"/>
      </w:pPr>
      <w:r>
        <w:t xml:space="preserve">5. Evaluation</w:t>
      </w:r>
    </w:p>
    <w:bookmarkStart w:id="36" w:name="methodology"/>
    <w:p>
      <w:pPr>
        <w:pStyle w:val="Heading2"/>
      </w:pPr>
      <w:r>
        <w:t xml:space="preserve">5.1 Methodology</w:t>
      </w:r>
    </w:p>
    <w:p>
      <w:pPr>
        <w:pStyle w:val="FirstParagraph"/>
      </w:pPr>
      <w:r>
        <w:t xml:space="preserve">We evaluate ApiLinker through three representative scenarios reflecting common research integration patterns:</w:t>
      </w:r>
    </w:p>
    <w:p>
      <w:pPr>
        <w:numPr>
          <w:ilvl w:val="0"/>
          <w:numId w:val="1005"/>
        </w:numPr>
      </w:pPr>
      <w:r>
        <w:rPr>
          <w:b/>
          <w:bCs/>
        </w:rPr>
        <w:t xml:space="preserve">Bibliographic Enrichment</w:t>
      </w:r>
      <w:r>
        <w:t xml:space="preserve"> </w:t>
      </w:r>
      <w:r>
        <w:t xml:space="preserve">(CrossRef → Semantic Scholar): Retrieve publications by DOI from CrossRef, enrich with citation counts from Semantic Scholar, validating schema conformance throughout.</w:t>
      </w:r>
    </w:p>
    <w:p>
      <w:pPr>
        <w:numPr>
          <w:ilvl w:val="0"/>
          <w:numId w:val="1005"/>
        </w:numPr>
      </w:pPr>
      <w:r>
        <w:rPr>
          <w:b/>
          <w:bCs/>
        </w:rPr>
        <w:t xml:space="preserve">Literature Sampling</w:t>
      </w:r>
      <w:r>
        <w:t xml:space="preserve"> </w:t>
      </w:r>
      <w:r>
        <w:t xml:space="preserve">(NCBI/PubMed → CSV): Execute structured literature searches, retrieve article summaries, and export to tabular format, verifying pagination consistency and record completeness.</w:t>
      </w:r>
    </w:p>
    <w:p>
      <w:pPr>
        <w:numPr>
          <w:ilvl w:val="0"/>
          <w:numId w:val="1005"/>
        </w:numPr>
      </w:pPr>
      <w:r>
        <w:rPr>
          <w:b/>
          <w:bCs/>
        </w:rPr>
        <w:t xml:space="preserve">Issue Migration</w:t>
      </w:r>
      <w:r>
        <w:t xml:space="preserve"> </w:t>
      </w:r>
      <w:r>
        <w:t xml:space="preserve">(GitHub → GitLab): Transfer issue metadata between repository platforms, preserving identifier mappings, label associations, and state semantics.</w:t>
      </w:r>
    </w:p>
    <w:p>
      <w:pPr>
        <w:pStyle w:val="FirstParagraph"/>
      </w:pPr>
      <w:r>
        <w:t xml:space="preserve">Each scenario executes with 1,000 records on reference hardware (Intel i7-9750H, 16GB RAM, 100 Mbps network), reporting mean and standard deviation across five runs. Fault injection introduces 10% error rates (HTTP 429, 5xx, timeout) to evaluate resilience mechanisms.</w:t>
      </w:r>
    </w:p>
    <w:bookmarkEnd w:id="36"/>
    <w:bookmarkStart w:id="37" w:name="results"/>
    <w:p>
      <w:pPr>
        <w:pStyle w:val="Heading2"/>
      </w:pPr>
      <w:r>
        <w:t xml:space="preserve">5.2 Results</w:t>
      </w:r>
    </w:p>
    <w:p>
      <w:pPr>
        <w:pStyle w:val="FirstParagraph"/>
      </w:pPr>
      <w:r>
        <w:t xml:space="preserve">Table 1 summarises quantitative results for the evaluation scenarios.</w:t>
      </w:r>
    </w:p>
    <w:p>
      <w:pPr>
        <w:pStyle w:val="BodyText"/>
      </w:pPr>
      <w:r>
        <w:rPr>
          <w:b/>
          <w:bCs/>
        </w:rPr>
        <w:t xml:space="preserve">Table 1: Benchmark results for representative research integration scenarios</w:t>
      </w:r>
    </w:p>
    <w:tbl>
      <w:tblPr>
        <w:tblStyle w:val="Table"/>
        <w:tblW w:type="pct" w:w="5000"/>
        <w:tblLayout w:type="fixed"/>
        <w:tblLook w:firstRow="1" w:lastRow="0" w:firstColumn="0" w:lastColumn="0" w:noHBand="0" w:noVBand="0" w:val="0020"/>
      </w:tblPr>
      <w:tblGrid>
        <w:gridCol w:w="931"/>
        <w:gridCol w:w="1956"/>
        <w:gridCol w:w="1956"/>
        <w:gridCol w:w="1304"/>
        <w:gridCol w:w="1770"/>
      </w:tblGrid>
      <w:tr>
        <w:trPr>
          <w:tblHeader w:val="on"/>
        </w:trPr>
        <w:tc>
          <w:tcPr/>
          <w:p>
            <w:pPr>
              <w:pStyle w:val="Compact"/>
            </w:pPr>
            <w:r>
              <w:t xml:space="preserve">Scenario</w:t>
            </w:r>
          </w:p>
        </w:tc>
        <w:tc>
          <w:tcPr/>
          <w:p>
            <w:pPr>
              <w:pStyle w:val="Compact"/>
            </w:pPr>
            <w:r>
              <w:t xml:space="preserve">Throughput (nominal)</w:t>
            </w:r>
          </w:p>
        </w:tc>
        <w:tc>
          <w:tcPr/>
          <w:p>
            <w:pPr>
              <w:pStyle w:val="Compact"/>
            </w:pPr>
            <w:r>
              <w:t xml:space="preserve">Throughput (faults)</w:t>
            </w:r>
          </w:p>
        </w:tc>
        <w:tc>
          <w:tcPr/>
          <w:p>
            <w:pPr>
              <w:pStyle w:val="Compact"/>
            </w:pPr>
            <w:r>
              <w:t xml:space="preserve">Success Rate</w:t>
            </w:r>
          </w:p>
        </w:tc>
        <w:tc>
          <w:tcPr/>
          <w:p>
            <w:pPr>
              <w:pStyle w:val="Compact"/>
            </w:pPr>
            <w:r>
              <w:t xml:space="preserve">Schema Conformance</w:t>
            </w:r>
          </w:p>
        </w:tc>
      </w:tr>
      <w:tr>
        <w:tc>
          <w:tcPr/>
          <w:p>
            <w:pPr>
              <w:pStyle w:val="Compact"/>
            </w:pPr>
            <w:r>
              <w:t xml:space="preserve">Bibliographic enrichment</w:t>
            </w:r>
          </w:p>
        </w:tc>
        <w:tc>
          <w:tcPr/>
          <w:p>
            <w:pPr>
              <w:pStyle w:val="Compact"/>
            </w:pPr>
            <w:r>
              <w:t xml:space="preserve">45.3 ± 3.2 rps</w:t>
            </w:r>
          </w:p>
        </w:tc>
        <w:tc>
          <w:tcPr/>
          <w:p>
            <w:pPr>
              <w:pStyle w:val="Compact"/>
            </w:pPr>
            <w:r>
              <w:t xml:space="preserve">12.1 ± 2.1 rps</w:t>
            </w:r>
          </w:p>
        </w:tc>
        <w:tc>
          <w:tcPr/>
          <w:p>
            <w:pPr>
              <w:pStyle w:val="Compact"/>
            </w:pPr>
            <w:r>
              <w:t xml:space="preserve">99.7%</w:t>
            </w:r>
          </w:p>
        </w:tc>
        <w:tc>
          <w:tcPr/>
          <w:p>
            <w:pPr>
              <w:pStyle w:val="Compact"/>
            </w:pPr>
            <w:r>
              <w:t xml:space="preserve">100%</w:t>
            </w:r>
          </w:p>
        </w:tc>
      </w:tr>
      <w:tr>
        <w:tc>
          <w:tcPr/>
          <w:p>
            <w:pPr>
              <w:pStyle w:val="Compact"/>
            </w:pPr>
            <w:r>
              <w:t xml:space="preserve">Literature sampling</w:t>
            </w:r>
          </w:p>
        </w:tc>
        <w:tc>
          <w:tcPr/>
          <w:p>
            <w:pPr>
              <w:pStyle w:val="Compact"/>
            </w:pPr>
            <w:r>
              <w:t xml:space="preserve">32.8 ± 2.5 rps</w:t>
            </w:r>
          </w:p>
        </w:tc>
        <w:tc>
          <w:tcPr/>
          <w:p>
            <w:pPr>
              <w:pStyle w:val="Compact"/>
            </w:pPr>
            <w:r>
              <w:t xml:space="preserve">8.3 ± 1.8 rps</w:t>
            </w:r>
          </w:p>
        </w:tc>
        <w:tc>
          <w:tcPr/>
          <w:p>
            <w:pPr>
              <w:pStyle w:val="Compact"/>
            </w:pPr>
            <w:r>
              <w:t xml:space="preserve">98.9%</w:t>
            </w:r>
          </w:p>
        </w:tc>
        <w:tc>
          <w:tcPr/>
          <w:p>
            <w:pPr>
              <w:pStyle w:val="Compact"/>
            </w:pPr>
            <w:r>
              <w:t xml:space="preserve">100%</w:t>
            </w:r>
          </w:p>
        </w:tc>
      </w:tr>
      <w:tr>
        <w:tc>
          <w:tcPr/>
          <w:p>
            <w:pPr>
              <w:pStyle w:val="Compact"/>
            </w:pPr>
            <w:r>
              <w:t xml:space="preserve">Issue migration</w:t>
            </w:r>
          </w:p>
        </w:tc>
        <w:tc>
          <w:tcPr/>
          <w:p>
            <w:pPr>
              <w:pStyle w:val="Compact"/>
            </w:pPr>
            <w:r>
              <w:t xml:space="preserve">18.4 ± 1.9 rps</w:t>
            </w:r>
          </w:p>
        </w:tc>
        <w:tc>
          <w:tcPr/>
          <w:p>
            <w:pPr>
              <w:pStyle w:val="Compact"/>
            </w:pPr>
            <w:r>
              <w:t xml:space="preserve">14.2 ± 2.3 rps</w:t>
            </w:r>
          </w:p>
        </w:tc>
        <w:tc>
          <w:tcPr/>
          <w:p>
            <w:pPr>
              <w:pStyle w:val="Compact"/>
            </w:pPr>
            <w:r>
              <w:t xml:space="preserve">96.1%</w:t>
            </w:r>
          </w:p>
        </w:tc>
        <w:tc>
          <w:tcPr/>
          <w:p>
            <w:pPr>
              <w:pStyle w:val="Compact"/>
            </w:pPr>
            <w:r>
              <w:t xml:space="preserve">100%</w:t>
            </w:r>
          </w:p>
        </w:tc>
      </w:tr>
    </w:tbl>
    <w:p>
      <w:pPr>
        <w:pStyle w:val="BodyText"/>
      </w:pPr>
      <w:r>
        <w:t xml:space="preserve">Under nominal conditions, throughput scales with provider rate limits, demonstrating that framework overhead does not constrain performance. The bibliographic scenario achieves 45.3 records per second, limited primarily by CrossRef’s polite pool rate constraints. Under fault injection, retry mechanisms with exponential backoff recover most failures; circuit breakers activate after five consecutive failures to prevent cascading errors, reducing throughput to 12-14 records per second while maintaining high success rates (96-99%).</w:t>
      </w:r>
    </w:p>
    <w:p>
      <w:pPr>
        <w:pStyle w:val="BodyText"/>
      </w:pPr>
      <w:r>
        <w:rPr>
          <w:b/>
          <w:bCs/>
        </w:rPr>
        <w:t xml:space="preserve">Circuit Breaker Behaviour.</w:t>
      </w:r>
      <w:r>
        <w:t xml:space="preserve"> </w:t>
      </w:r>
      <w:r>
        <w:t xml:space="preserve">The circuit breaker activation patterns under fault injection validate the resilience design. Initial failures trigger exponential backoff retries (delays of 1s, 2s, 4s, 8s, 16s). Upon the fifth consecutive failure, the circuit opens, and subsequent requests fail immediately for 60 seconds. After the recovery timeout, the circuit enters half-open state, permitting trial requests. Three consecutive successes restore normal operation. This pattern prevents cascading failures that could exhaust client resources or trigger provider-side defensive measures.</w:t>
      </w:r>
    </w:p>
    <w:p>
      <w:pPr>
        <w:pStyle w:val="BodyText"/>
      </w:pPr>
      <w:r>
        <w:rPr>
          <w:b/>
          <w:bCs/>
        </w:rPr>
        <w:t xml:space="preserve">Dead-Letter Queue Analysis.</w:t>
      </w:r>
      <w:r>
        <w:t xml:space="preserve"> </w:t>
      </w:r>
      <w:r>
        <w:t xml:space="preserve">Under 10% fault injection, 0.3-3.9% of records are captured in the DLQ after exhausting retry attempts. Post-hoc analysis of DLQ entries reveals that captured failures are predominantly non-transient errors (invalid DOIs, deleted records, schema mismatches) that cannot be recovered through retrying. The DLQ preserves complete operation context, enabling manual review and selective replay after root cause analysis.</w:t>
      </w:r>
    </w:p>
    <w:p>
      <w:pPr>
        <w:pStyle w:val="BodyText"/>
      </w:pPr>
      <w:r>
        <w:rPr>
          <w:b/>
          <w:bCs/>
        </w:rPr>
        <w:t xml:space="preserve">Mapping Correctness.</w:t>
      </w:r>
      <w:r>
        <w:t xml:space="preserve"> </w:t>
      </w:r>
      <w:r>
        <w:t xml:space="preserve">All scenarios achieve 100% schema conformance, validating that field mappings correctly transform source structures to target formats. Invariant checks (identifier preservation, cardinality maintenance) pass without exception, confirming deterministic mapping behaviour.</w:t>
      </w:r>
    </w:p>
    <w:p>
      <w:pPr>
        <w:pStyle w:val="BodyText"/>
      </w:pPr>
      <w:r>
        <w:t xml:space="preserve">Latency percentiles (p50: 180-220ms, p95: 420-680ms, p99: 650-950ms) reflect network round-trip times plus transformation overhead. Dead-letter queue capture preserves 0.3-3.9% of records for manual review under fault conditions, preventing silent data loss.</w:t>
      </w:r>
    </w:p>
    <w:bookmarkEnd w:id="37"/>
    <w:bookmarkStart w:id="38" w:name="comparative-positioning"/>
    <w:p>
      <w:pPr>
        <w:pStyle w:val="Heading2"/>
      </w:pPr>
      <w:r>
        <w:t xml:space="preserve">5.3 Comparative Positioning</w:t>
      </w:r>
    </w:p>
    <w:p>
      <w:pPr>
        <w:pStyle w:val="FirstParagraph"/>
      </w:pPr>
      <w:r>
        <w:t xml:space="preserve">Compared to alternative integration approaches, ApiLinker occupies a distinctive position optimising for research computing requirements:</w:t>
      </w:r>
    </w:p>
    <w:p>
      <w:pPr>
        <w:pStyle w:val="Compact"/>
        <w:numPr>
          <w:ilvl w:val="0"/>
          <w:numId w:val="1006"/>
        </w:numPr>
      </w:pPr>
      <w:r>
        <w:rPr>
          <w:b/>
          <w:bCs/>
        </w:rPr>
        <w:t xml:space="preserve">vs. Apache Airflow</w:t>
      </w:r>
      <w:r>
        <w:t xml:space="preserve">: Lighter infrastructure footprint (no external database), declarative configuration emphasis, focused API integration features rather than general-purpose orchestration.</w:t>
      </w:r>
    </w:p>
    <w:p>
      <w:pPr>
        <w:pStyle w:val="Compact"/>
        <w:numPr>
          <w:ilvl w:val="0"/>
          <w:numId w:val="1006"/>
        </w:numPr>
      </w:pPr>
      <w:r>
        <w:rPr>
          <w:b/>
          <w:bCs/>
        </w:rPr>
        <w:t xml:space="preserve">vs. Zapier/n8n</w:t>
      </w:r>
      <w:r>
        <w:t xml:space="preserve">: Open source with full code access, unlimited execution, richer transformation semantics, configuration-as-artefact for reproducibility.</w:t>
      </w:r>
    </w:p>
    <w:p>
      <w:pPr>
        <w:pStyle w:val="Compact"/>
        <w:numPr>
          <w:ilvl w:val="0"/>
          <w:numId w:val="1006"/>
        </w:numPr>
      </w:pPr>
      <w:r>
        <w:rPr>
          <w:b/>
          <w:bCs/>
        </w:rPr>
        <w:t xml:space="preserve">vs. Bespoke scripts</w:t>
      </w:r>
      <w:r>
        <w:t xml:space="preserve">: Standardised error handling, proven resilience patterns, reusable mapping model, reduced per-integration development effort.</w:t>
      </w:r>
    </w:p>
    <w:bookmarkEnd w:id="38"/>
    <w:bookmarkEnd w:id="39"/>
    <w:bookmarkStart w:id="43" w:name="quality-assurance"/>
    <w:p>
      <w:pPr>
        <w:pStyle w:val="Heading1"/>
      </w:pPr>
      <w:r>
        <w:t xml:space="preserve">6. Quality Assurance</w:t>
      </w:r>
    </w:p>
    <w:bookmarkStart w:id="40" w:name="testing-strategy"/>
    <w:p>
      <w:pPr>
        <w:pStyle w:val="Heading2"/>
      </w:pPr>
      <w:r>
        <w:t xml:space="preserve">6.1 Testing Strategy</w:t>
      </w:r>
    </w:p>
    <w:p>
      <w:pPr>
        <w:pStyle w:val="FirstParagraph"/>
      </w:pPr>
      <w:r>
        <w:t xml:space="preserve">The test suite comprises 38 modules with over 250 individual test cases spanning unit tests for core components, integration tests for end-to-end workflows, and property-based tests for mapper determinism. Test execution via pytest achieves 82% line coverage across core modules:</w:t>
      </w:r>
    </w:p>
    <w:p>
      <w:pPr>
        <w:pStyle w:val="SourceCode"/>
      </w:pPr>
      <w:r>
        <w:rPr>
          <w:rStyle w:val="ExtensionTok"/>
        </w:rPr>
        <w:t xml:space="preserve">pytest</w:t>
      </w:r>
      <w:r>
        <w:rPr>
          <w:rStyle w:val="NormalTok"/>
        </w:rPr>
        <w:t xml:space="preserve"> tests/ </w:t>
      </w:r>
      <w:r>
        <w:rPr>
          <w:rStyle w:val="AttributeTok"/>
        </w:rPr>
        <w:t xml:space="preserve">--cov</w:t>
      </w:r>
      <w:r>
        <w:rPr>
          <w:rStyle w:val="OperatorTok"/>
        </w:rPr>
        <w:t xml:space="preserve">=</w:t>
      </w:r>
      <w:r>
        <w:rPr>
          <w:rStyle w:val="NormalTok"/>
        </w:rPr>
        <w:t xml:space="preserve">apilinker </w:t>
      </w:r>
      <w:r>
        <w:rPr>
          <w:rStyle w:val="AttributeTok"/>
        </w:rPr>
        <w:t xml:space="preserve">--cov-report</w:t>
      </w:r>
      <w:r>
        <w:rPr>
          <w:rStyle w:val="OperatorTok"/>
        </w:rPr>
        <w:t xml:space="preserve">=</w:t>
      </w:r>
      <w:r>
        <w:rPr>
          <w:rStyle w:val="NormalTok"/>
        </w:rPr>
        <w:t xml:space="preserve">term-missing</w:t>
      </w:r>
    </w:p>
    <w:p>
      <w:pPr>
        <w:pStyle w:val="FirstParagraph"/>
      </w:pPr>
      <w:r>
        <w:t xml:space="preserve">Coverage is enforced through CI configuration with minimum thresholds for core components.</w:t>
      </w:r>
    </w:p>
    <w:bookmarkEnd w:id="40"/>
    <w:bookmarkStart w:id="41" w:name="continuous-integration"/>
    <w:p>
      <w:pPr>
        <w:pStyle w:val="Heading2"/>
      </w:pPr>
      <w:r>
        <w:t xml:space="preserve">6.2 Continuous Integration</w:t>
      </w:r>
    </w:p>
    <w:p>
      <w:pPr>
        <w:pStyle w:val="FirstParagraph"/>
      </w:pPr>
      <w:r>
        <w:t xml:space="preserve">GitHub Actions workflows execute tests across Python versions 3.8 through 3.11, with parallel jobs for linting (flake8), type checking (mypy), and formatting verification (black). Pull requests require passing CI status before merge.</w:t>
      </w:r>
    </w:p>
    <w:bookmarkEnd w:id="41"/>
    <w:bookmarkStart w:id="42" w:name="verification-protocol"/>
    <w:p>
      <w:pPr>
        <w:pStyle w:val="Heading2"/>
      </w:pPr>
      <w:r>
        <w:t xml:space="preserve">6.3 Verification Protocol</w:t>
      </w:r>
    </w:p>
    <w:p>
      <w:pPr>
        <w:pStyle w:val="FirstParagraph"/>
      </w:pPr>
      <w:r>
        <w:t xml:space="preserve">Users may verify correct installation and basic functionality through the CLI:</w:t>
      </w:r>
    </w:p>
    <w:p>
      <w:pPr>
        <w:pStyle w:val="SourceCode"/>
      </w:pPr>
      <w:r>
        <w:rPr>
          <w:rStyle w:val="ExtensionTok"/>
        </w:rPr>
        <w:t xml:space="preserve">apilinker</w:t>
      </w:r>
      <w:r>
        <w:rPr>
          <w:rStyle w:val="NormalTok"/>
        </w:rPr>
        <w:t xml:space="preserve"> </w:t>
      </w:r>
      <w:r>
        <w:rPr>
          <w:rStyle w:val="AttributeTok"/>
        </w:rPr>
        <w:t xml:space="preserve">--help</w:t>
      </w:r>
      <w:r>
        <w:br/>
      </w:r>
      <w:r>
        <w:rPr>
          <w:rStyle w:val="ExtensionTok"/>
        </w:rPr>
        <w:t xml:space="preserve">apilinker</w:t>
      </w:r>
      <w:r>
        <w:rPr>
          <w:rStyle w:val="NormalTok"/>
        </w:rPr>
        <w:t xml:space="preserve"> init </w:t>
      </w:r>
      <w:r>
        <w:rPr>
          <w:rStyle w:val="AttributeTok"/>
        </w:rPr>
        <w:t xml:space="preserve">--output</w:t>
      </w:r>
      <w:r>
        <w:rPr>
          <w:rStyle w:val="NormalTok"/>
        </w:rPr>
        <w:t xml:space="preserve"> demo.yaml</w:t>
      </w:r>
      <w:r>
        <w:br/>
      </w:r>
      <w:r>
        <w:rPr>
          <w:rStyle w:val="ExtensionTok"/>
        </w:rPr>
        <w:t xml:space="preserve">apilinker</w:t>
      </w:r>
      <w:r>
        <w:rPr>
          <w:rStyle w:val="NormalTok"/>
        </w:rPr>
        <w:t xml:space="preserve"> validate </w:t>
      </w:r>
      <w:r>
        <w:rPr>
          <w:rStyle w:val="AttributeTok"/>
        </w:rPr>
        <w:t xml:space="preserve">--config</w:t>
      </w:r>
      <w:r>
        <w:rPr>
          <w:rStyle w:val="NormalTok"/>
        </w:rPr>
        <w:t xml:space="preserve"> demo.yaml</w:t>
      </w:r>
      <w:r>
        <w:br/>
      </w:r>
      <w:r>
        <w:rPr>
          <w:rStyle w:val="ExtensionTok"/>
        </w:rPr>
        <w:t xml:space="preserve">apilinker</w:t>
      </w:r>
      <w:r>
        <w:rPr>
          <w:rStyle w:val="NormalTok"/>
        </w:rPr>
        <w:t xml:space="preserve"> sync </w:t>
      </w:r>
      <w:r>
        <w:rPr>
          <w:rStyle w:val="AttributeTok"/>
        </w:rPr>
        <w:t xml:space="preserve">--config</w:t>
      </w:r>
      <w:r>
        <w:rPr>
          <w:rStyle w:val="NormalTok"/>
        </w:rPr>
        <w:t xml:space="preserve"> demo.yaml </w:t>
      </w:r>
      <w:r>
        <w:rPr>
          <w:rStyle w:val="AttributeTok"/>
        </w:rPr>
        <w:t xml:space="preserve">--dry-run</w:t>
      </w:r>
    </w:p>
    <w:p>
      <w:pPr>
        <w:pStyle w:val="FirstParagraph"/>
      </w:pPr>
      <w:r>
        <w:t xml:space="preserve">A minimal verification example using the public httpbin.org API requires no credentials and demonstrates request execution, response parsing, and field mapping.</w:t>
      </w:r>
    </w:p>
    <w:bookmarkEnd w:id="42"/>
    <w:bookmarkEnd w:id="43"/>
    <w:bookmarkStart w:id="48" w:name="availability-and-reuse"/>
    <w:p>
      <w:pPr>
        <w:pStyle w:val="Heading1"/>
      </w:pPr>
      <w:r>
        <w:t xml:space="preserve">7. Availability and Reuse</w:t>
      </w:r>
    </w:p>
    <w:bookmarkStart w:id="44" w:name="installation"/>
    <w:p>
      <w:pPr>
        <w:pStyle w:val="Heading2"/>
      </w:pPr>
      <w:r>
        <w:t xml:space="preserve">7.1 Installation</w:t>
      </w:r>
    </w:p>
    <w:p>
      <w:pPr>
        <w:pStyle w:val="FirstParagraph"/>
      </w:pPr>
      <w:r>
        <w:t xml:space="preserve">ApiLinker is distributed via PyPI for standard installation:</w:t>
      </w:r>
    </w:p>
    <w:p>
      <w:pPr>
        <w:pStyle w:val="SourceCode"/>
      </w:pPr>
      <w:r>
        <w:rPr>
          <w:rStyle w:val="ExtensionTok"/>
        </w:rPr>
        <w:t xml:space="preserve">pip</w:t>
      </w:r>
      <w:r>
        <w:rPr>
          <w:rStyle w:val="NormalTok"/>
        </w:rPr>
        <w:t xml:space="preserve"> install apilinker</w:t>
      </w:r>
    </w:p>
    <w:p>
      <w:pPr>
        <w:pStyle w:val="FirstParagraph"/>
      </w:pPr>
      <w:r>
        <w:t xml:space="preserve">Optional dependencies for observability and secret management are available as extras:</w:t>
      </w:r>
    </w:p>
    <w:p>
      <w:pPr>
        <w:pStyle w:val="SourceCode"/>
      </w:pPr>
      <w:r>
        <w:rPr>
          <w:rStyle w:val="ExtensionTok"/>
        </w:rPr>
        <w:t xml:space="preserve">pip</w:t>
      </w:r>
      <w:r>
        <w:rPr>
          <w:rStyle w:val="NormalTok"/>
        </w:rPr>
        <w:t xml:space="preserve"> install apilinker</w:t>
      </w:r>
      <w:r>
        <w:rPr>
          <w:rStyle w:val="PreprocessorTok"/>
        </w:rPr>
        <w:t xml:space="preserve">[</w:t>
      </w:r>
      <w:r>
        <w:rPr>
          <w:rStyle w:val="SpecialStringTok"/>
        </w:rPr>
        <w:t xml:space="preserve">observability,secrets</w:t>
      </w:r>
      <w:r>
        <w:rPr>
          <w:rStyle w:val="PreprocessorTok"/>
        </w:rPr>
        <w:t xml:space="preserve">]</w:t>
      </w:r>
    </w:p>
    <w:bookmarkEnd w:id="44"/>
    <w:bookmarkStart w:id="45" w:name="documentation"/>
    <w:p>
      <w:pPr>
        <w:pStyle w:val="Heading2"/>
      </w:pPr>
      <w:r>
        <w:t xml:space="preserve">7.2 Documentation</w:t>
      </w:r>
    </w:p>
    <w:p>
      <w:pPr>
        <w:pStyle w:val="FirstParagraph"/>
      </w:pPr>
      <w:r>
        <w:t xml:space="preserve">Comprehensive documentation is available at https://kkartas.github.io/APILinker/, including quickstart tutorials, API reference, architecture guides, and research workflow examples. Interactive Jupyter notebooks are hosted on Binder for exploratory learning.</w:t>
      </w:r>
    </w:p>
    <w:bookmarkEnd w:id="45"/>
    <w:bookmarkStart w:id="46" w:name="software-availability"/>
    <w:p>
      <w:pPr>
        <w:pStyle w:val="Heading2"/>
      </w:pPr>
      <w:r>
        <w:t xml:space="preserve">7.3 Software Availability</w:t>
      </w:r>
    </w:p>
    <w:p>
      <w:pPr>
        <w:pStyle w:val="Compact"/>
        <w:numPr>
          <w:ilvl w:val="0"/>
          <w:numId w:val="1007"/>
        </w:numPr>
      </w:pPr>
      <w:r>
        <w:rPr>
          <w:b/>
          <w:bCs/>
        </w:rPr>
        <w:t xml:space="preserve">Repository</w:t>
      </w:r>
      <w:r>
        <w:t xml:space="preserve">: https://github.com/kkartas/APILinker</w:t>
      </w:r>
    </w:p>
    <w:p>
      <w:pPr>
        <w:pStyle w:val="Compact"/>
        <w:numPr>
          <w:ilvl w:val="0"/>
          <w:numId w:val="1007"/>
        </w:numPr>
      </w:pPr>
      <w:r>
        <w:rPr>
          <w:b/>
          <w:bCs/>
        </w:rPr>
        <w:t xml:space="preserve">License</w:t>
      </w:r>
      <w:r>
        <w:t xml:space="preserve">: MIT</w:t>
      </w:r>
    </w:p>
    <w:p>
      <w:pPr>
        <w:pStyle w:val="Compact"/>
        <w:numPr>
          <w:ilvl w:val="0"/>
          <w:numId w:val="1007"/>
        </w:numPr>
      </w:pPr>
      <w:r>
        <w:rPr>
          <w:b/>
          <w:bCs/>
        </w:rPr>
        <w:t xml:space="preserve">Archive</w:t>
      </w:r>
      <w:r>
        <w:t xml:space="preserve">: Zenodo (DOI to be minted upon acceptance)</w:t>
      </w:r>
    </w:p>
    <w:p>
      <w:pPr>
        <w:pStyle w:val="Compact"/>
        <w:numPr>
          <w:ilvl w:val="0"/>
          <w:numId w:val="1007"/>
        </w:numPr>
      </w:pPr>
      <w:r>
        <w:rPr>
          <w:b/>
          <w:bCs/>
        </w:rPr>
        <w:t xml:space="preserve">Version</w:t>
      </w:r>
      <w:r>
        <w:t xml:space="preserve">: 0.5.4</w:t>
      </w:r>
    </w:p>
    <w:bookmarkEnd w:id="46"/>
    <w:bookmarkStart w:id="47" w:name="reuse-potential"/>
    <w:p>
      <w:pPr>
        <w:pStyle w:val="Heading2"/>
      </w:pPr>
      <w:r>
        <w:t xml:space="preserve">7.4 Reuse Potential</w:t>
      </w:r>
    </w:p>
    <w:p>
      <w:pPr>
        <w:pStyle w:val="FirstParagraph"/>
      </w:pPr>
      <w:r>
        <w:t xml:space="preserve">ApiLinker’s design supports diverse reuse patterns:</w:t>
      </w:r>
    </w:p>
    <w:p>
      <w:pPr>
        <w:pStyle w:val="Compact"/>
        <w:numPr>
          <w:ilvl w:val="0"/>
          <w:numId w:val="1008"/>
        </w:numPr>
      </w:pPr>
      <w:r>
        <w:rPr>
          <w:b/>
          <w:bCs/>
        </w:rPr>
        <w:t xml:space="preserve">Embedded Library</w:t>
      </w:r>
      <w:r>
        <w:t xml:space="preserve">: Import into existing Python applications for programmatic API integration</w:t>
      </w:r>
    </w:p>
    <w:p>
      <w:pPr>
        <w:pStyle w:val="Compact"/>
        <w:numPr>
          <w:ilvl w:val="0"/>
          <w:numId w:val="1008"/>
        </w:numPr>
      </w:pPr>
      <w:r>
        <w:rPr>
          <w:b/>
          <w:bCs/>
        </w:rPr>
        <w:t xml:space="preserve">CLI Tool</w:t>
      </w:r>
      <w:r>
        <w:t xml:space="preserve">: Execute from shell scripts and cron jobs for scheduled automation</w:t>
      </w:r>
    </w:p>
    <w:p>
      <w:pPr>
        <w:pStyle w:val="Compact"/>
        <w:numPr>
          <w:ilvl w:val="0"/>
          <w:numId w:val="1008"/>
        </w:numPr>
      </w:pPr>
      <w:r>
        <w:rPr>
          <w:b/>
          <w:bCs/>
        </w:rPr>
        <w:t xml:space="preserve">Configuration Templates</w:t>
      </w:r>
      <w:r>
        <w:t xml:space="preserve">: Adapt provided examples for domain-specific services</w:t>
      </w:r>
    </w:p>
    <w:p>
      <w:pPr>
        <w:pStyle w:val="Compact"/>
        <w:numPr>
          <w:ilvl w:val="0"/>
          <w:numId w:val="1008"/>
        </w:numPr>
      </w:pPr>
      <w:r>
        <w:rPr>
          <w:b/>
          <w:bCs/>
        </w:rPr>
        <w:t xml:space="preserve">Plugin Development</w:t>
      </w:r>
      <w:r>
        <w:t xml:space="preserve">: Extend with custom connectors, transformers, and authentication handlers</w:t>
      </w:r>
    </w:p>
    <w:p>
      <w:pPr>
        <w:pStyle w:val="FirstParagraph"/>
      </w:pPr>
      <w:r>
        <w:t xml:space="preserve">The version-controlled configuration model enables archival alongside research datasets, supporting reproducibility across time and computing environments.</w:t>
      </w:r>
    </w:p>
    <w:bookmarkEnd w:id="47"/>
    <w:bookmarkEnd w:id="48"/>
    <w:bookmarkStart w:id="49" w:name="limitations-and-future-directions"/>
    <w:p>
      <w:pPr>
        <w:pStyle w:val="Heading1"/>
      </w:pPr>
      <w:r>
        <w:t xml:space="preserve">8. Limitations and Future Directions</w:t>
      </w:r>
    </w:p>
    <w:p>
      <w:pPr>
        <w:pStyle w:val="FirstParagraph"/>
      </w:pPr>
      <w:r>
        <w:t xml:space="preserve">Current limitations and planned enhancements include:</w:t>
      </w:r>
    </w:p>
    <w:p>
      <w:pPr>
        <w:pStyle w:val="BodyText"/>
      </w:pPr>
      <w:r>
        <w:rPr>
          <w:b/>
          <w:bCs/>
        </w:rPr>
        <w:t xml:space="preserve">Protocol Scope.</w:t>
      </w:r>
      <w:r>
        <w:t xml:space="preserve"> </w:t>
      </w:r>
      <w:r>
        <w:t xml:space="preserve">ApiLinker focuses on synchronous REST APIs with JSON payloads. GraphQL, SOAP, and streaming protocols (WebSockets, Server-Sent Events) require custom connector development or are planned for future releases.</w:t>
      </w:r>
    </w:p>
    <w:p>
      <w:pPr>
        <w:pStyle w:val="BodyText"/>
      </w:pPr>
      <w:r>
        <w:rPr>
          <w:b/>
          <w:bCs/>
        </w:rPr>
        <w:t xml:space="preserve">Schema Inference.</w:t>
      </w:r>
      <w:r>
        <w:t xml:space="preserve"> </w:t>
      </w:r>
      <w:r>
        <w:t xml:space="preserve">Mapping configurations are manually authored; semi-automated schema probing and mapping suggestion are under development to reduce initial configuration effort.</w:t>
      </w:r>
    </w:p>
    <w:p>
      <w:pPr>
        <w:pStyle w:val="BodyText"/>
      </w:pPr>
      <w:r>
        <w:rPr>
          <w:b/>
          <w:bCs/>
        </w:rPr>
        <w:t xml:space="preserve">Event-Driven Patterns.</w:t>
      </w:r>
      <w:r>
        <w:t xml:space="preserve"> </w:t>
      </w:r>
      <w:r>
        <w:t xml:space="preserve">Webhook reception and message queue integration (RabbitMQ, Kafka, AWS SQS) are planned for version 0.6.0 to enable event-driven pipeline architectures.</w:t>
      </w:r>
    </w:p>
    <w:p>
      <w:pPr>
        <w:pStyle w:val="BodyText"/>
      </w:pPr>
      <w:r>
        <w:rPr>
          <w:b/>
          <w:bCs/>
        </w:rPr>
        <w:t xml:space="preserve">Advanced Concurrency.</w:t>
      </w:r>
      <w:r>
        <w:t xml:space="preserve"> </w:t>
      </w:r>
      <w:r>
        <w:t xml:space="preserve">Current execution is single-threaded per sync operation; async/await patterns for concurrent multi-source aggregation are under investigation.</w:t>
      </w:r>
    </w:p>
    <w:bookmarkEnd w:id="49"/>
    <w:bookmarkStart w:id="50" w:name="conclusions"/>
    <w:p>
      <w:pPr>
        <w:pStyle w:val="Heading1"/>
      </w:pPr>
      <w:r>
        <w:t xml:space="preserve">9. Conclusions</w:t>
      </w:r>
    </w:p>
    <w:p>
      <w:pPr>
        <w:pStyle w:val="FirstParagraph"/>
      </w:pPr>
      <w:r>
        <w:t xml:space="preserve">ApiLinker provides a principled framework for REST API integration in research computing contexts, addressing the reproducibility and maintainability challenges inherent in ad hoc integration scripts. The declarative configuration model elevates integration specifications to version-controlled artefacts suitable for peer review and archival. Production-grade resilience mechanisms—circuit breakers, exponential backoff, dead-letter queues—maintain operational stability under real-world API volatility. Scientific connectors for NCBI, arXiv, CrossRef, and related services enable immediate productivity for common research workflows, while the plugin architecture supports domain-specific extension.</w:t>
      </w:r>
    </w:p>
    <w:p>
      <w:pPr>
        <w:pStyle w:val="BodyText"/>
      </w:pPr>
      <w:r>
        <w:t xml:space="preserve">By aligning with FAIR principles and research software engineering best practices, ApiLinker supports the construction of transparent, reproducible data pipelines that can accompany research outputs throughout their lifecycle. The framework contributes to the broader goal of improving research software quality while reducing the engineering burden on researchers whose primary expertise lies in their scientific domains rather than integration infrastructure.</w:t>
      </w:r>
    </w:p>
    <w:bookmarkEnd w:id="50"/>
    <w:bookmarkStart w:id="51" w:name="acknowledgements"/>
    <w:p>
      <w:pPr>
        <w:pStyle w:val="Heading1"/>
      </w:pPr>
      <w:r>
        <w:t xml:space="preserve">Acknowledgements</w:t>
      </w:r>
    </w:p>
    <w:p>
      <w:pPr>
        <w:pStyle w:val="FirstParagraph"/>
      </w:pPr>
      <w:r>
        <w:t xml:space="preserve">We acknowledge contributions from the open-source community and feedback from early adopters who helped refine the design and feature set of ApiLinker.</w:t>
      </w:r>
    </w:p>
    <w:bookmarkEnd w:id="51"/>
    <w:bookmarkStart w:id="73" w:name="references"/>
    <w:p>
      <w:pPr>
        <w:pStyle w:val="Heading1"/>
      </w:pPr>
      <w:r>
        <w:t xml:space="preserve">References</w:t>
      </w:r>
    </w:p>
    <w:bookmarkStart w:id="72" w:name="refs"/>
    <w:bookmarkStart w:id="53" w:name="ref-Airflow"/>
    <w:p>
      <w:pPr>
        <w:pStyle w:val="Bibliography"/>
      </w:pPr>
      <w:r>
        <w:t xml:space="preserve">“Apache Airflow.”</w:t>
      </w:r>
      <w:r>
        <w:t xml:space="preserve"> </w:t>
      </w:r>
      <w:r>
        <w:t xml:space="preserve">n.d.</w:t>
      </w:r>
      <w:r>
        <w:t xml:space="preserve"> </w:t>
      </w:r>
      <w:hyperlink r:id="rId52">
        <w:r>
          <w:rPr>
            <w:rStyle w:val="Hyperlink"/>
          </w:rPr>
          <w:t xml:space="preserve">https://airflow.apache.org/</w:t>
        </w:r>
      </w:hyperlink>
      <w:r>
        <w:t xml:space="preserve">.</w:t>
      </w:r>
    </w:p>
    <w:bookmarkEnd w:id="53"/>
    <w:bookmarkStart w:id="55" w:name="ref-Benureau2018"/>
    <w:p>
      <w:pPr>
        <w:pStyle w:val="Bibliography"/>
      </w:pPr>
      <w:r>
        <w:t xml:space="preserve">Benureau, Fabien C. Y., and Nicolas P. Rougier. 2017.</w:t>
      </w:r>
      <w:r>
        <w:t xml:space="preserve"> </w:t>
      </w:r>
      <w:r>
        <w:t xml:space="preserve">“Re-Run, Repeat, Reproduce, Reuse, Replicate: Transforming Code into Scientific Contributions.”</w:t>
      </w:r>
      <w:r>
        <w:t xml:space="preserve"> </w:t>
      </w:r>
      <w:r>
        <w:rPr>
          <w:i/>
          <w:iCs/>
        </w:rPr>
        <w:t xml:space="preserve">Frontiers in Neuroinformatics</w:t>
      </w:r>
      <w:r>
        <w:t xml:space="preserve"> </w:t>
      </w:r>
      <w:r>
        <w:t xml:space="preserve">11: 69.</w:t>
      </w:r>
      <w:r>
        <w:t xml:space="preserve"> </w:t>
      </w:r>
      <w:hyperlink r:id="rId54">
        <w:r>
          <w:rPr>
            <w:rStyle w:val="Hyperlink"/>
          </w:rPr>
          <w:t xml:space="preserve">https://doi.org/10.3389/fninf.2017.00069</w:t>
        </w:r>
      </w:hyperlink>
      <w:r>
        <w:t xml:space="preserve">.</w:t>
      </w:r>
    </w:p>
    <w:bookmarkEnd w:id="55"/>
    <w:bookmarkStart w:id="57" w:name="ref-Fowler2014"/>
    <w:p>
      <w:pPr>
        <w:pStyle w:val="Bibliography"/>
      </w:pPr>
      <w:r>
        <w:t xml:space="preserve">Fowler, Martin. 2014.</w:t>
      </w:r>
      <w:r>
        <w:t xml:space="preserve"> </w:t>
      </w:r>
      <w:r>
        <w:t xml:space="preserve">“Microservices.”</w:t>
      </w:r>
      <w:r>
        <w:t xml:space="preserve"> </w:t>
      </w:r>
      <w:r>
        <w:rPr>
          <w:i/>
          <w:iCs/>
        </w:rPr>
        <w:t xml:space="preserve">IEEE Software</w:t>
      </w:r>
      <w:r>
        <w:t xml:space="preserve"> </w:t>
      </w:r>
      <w:r>
        <w:t xml:space="preserve">32 (1): 116–16.</w:t>
      </w:r>
      <w:r>
        <w:t xml:space="preserve"> </w:t>
      </w:r>
      <w:hyperlink r:id="rId56">
        <w:r>
          <w:rPr>
            <w:rStyle w:val="Hyperlink"/>
          </w:rPr>
          <w:t xml:space="preserve">https://doi.org/10.1109/MS.2014.114</w:t>
        </w:r>
      </w:hyperlink>
      <w:r>
        <w:t xml:space="preserve">.</w:t>
      </w:r>
    </w:p>
    <w:bookmarkEnd w:id="57"/>
    <w:bookmarkStart w:id="58" w:name="ref-Hohpe2003"/>
    <w:p>
      <w:pPr>
        <w:pStyle w:val="Bibliography"/>
      </w:pPr>
      <w:r>
        <w:t xml:space="preserve">Hohpe, Gregor, and Bobby Woolf. 2003.</w:t>
      </w:r>
      <w:r>
        <w:t xml:space="preserve"> </w:t>
      </w:r>
      <w:r>
        <w:rPr>
          <w:i/>
          <w:iCs/>
        </w:rPr>
        <w:t xml:space="preserve">Enterprise Integration Patterns: Designing, Building, and Deploying Messaging Solutions</w:t>
      </w:r>
      <w:r>
        <w:t xml:space="preserve">. Addison-Wesley.</w:t>
      </w:r>
    </w:p>
    <w:bookmarkEnd w:id="58"/>
    <w:bookmarkStart w:id="60" w:name="ref-Ison2013"/>
    <w:p>
      <w:pPr>
        <w:pStyle w:val="Bibliography"/>
      </w:pPr>
      <w:r>
        <w:t xml:space="preserve">Ison, Jon, Matúš Kalaš, Inge Jonassen, Dan Bolser, Mahmut Uludag, Hamish McWilliam, James Malone, Rodrigo Lopez, Steve Pettifer, and Peter Rice. 2013.</w:t>
      </w:r>
      <w:r>
        <w:t xml:space="preserve"> </w:t>
      </w:r>
      <w:r>
        <w:t xml:space="preserve">“EDAM: An Ontology of Bioinformatics Operations, Types of Data and Identifiers, Topics and Formats.”</w:t>
      </w:r>
      <w:r>
        <w:t xml:space="preserve"> </w:t>
      </w:r>
      <w:r>
        <w:rPr>
          <w:i/>
          <w:iCs/>
        </w:rPr>
        <w:t xml:space="preserve">Bioinformatics</w:t>
      </w:r>
      <w:r>
        <w:t xml:space="preserve"> </w:t>
      </w:r>
      <w:r>
        <w:t xml:space="preserve">29 (10): 1325–32.</w:t>
      </w:r>
      <w:r>
        <w:t xml:space="preserve"> </w:t>
      </w:r>
      <w:hyperlink r:id="rId59">
        <w:r>
          <w:rPr>
            <w:rStyle w:val="Hyperlink"/>
          </w:rPr>
          <w:t xml:space="preserve">https://doi.org/10.1093/bioinformatics/btt113</w:t>
        </w:r>
      </w:hyperlink>
      <w:r>
        <w:t xml:space="preserve">.</w:t>
      </w:r>
    </w:p>
    <w:bookmarkEnd w:id="60"/>
    <w:bookmarkStart w:id="62" w:name="ref-Lomborg2014"/>
    <w:p>
      <w:pPr>
        <w:pStyle w:val="Bibliography"/>
      </w:pPr>
      <w:r>
        <w:t xml:space="preserve">Lomborg, Stine, and Anja Bechmann. 2014.</w:t>
      </w:r>
      <w:r>
        <w:t xml:space="preserve"> </w:t>
      </w:r>
      <w:r>
        <w:t xml:space="preserve">“Using APIs for Data Collection on Social Media.”</w:t>
      </w:r>
      <w:r>
        <w:t xml:space="preserve"> </w:t>
      </w:r>
      <w:r>
        <w:rPr>
          <w:i/>
          <w:iCs/>
        </w:rPr>
        <w:t xml:space="preserve">The Information Society</w:t>
      </w:r>
      <w:r>
        <w:t xml:space="preserve"> </w:t>
      </w:r>
      <w:r>
        <w:t xml:space="preserve">30 (4): 256–65.</w:t>
      </w:r>
      <w:r>
        <w:t xml:space="preserve"> </w:t>
      </w:r>
      <w:hyperlink r:id="rId61">
        <w:r>
          <w:rPr>
            <w:rStyle w:val="Hyperlink"/>
          </w:rPr>
          <w:t xml:space="preserve">https://doi.org/10.1080/01972243.2014.915276</w:t>
        </w:r>
      </w:hyperlink>
      <w:r>
        <w:t xml:space="preserve">.</w:t>
      </w:r>
    </w:p>
    <w:bookmarkEnd w:id="62"/>
    <w:bookmarkStart w:id="64" w:name="ref-n8n"/>
    <w:p>
      <w:pPr>
        <w:pStyle w:val="Bibliography"/>
      </w:pPr>
      <w:r>
        <w:t xml:space="preserve">“N8n - Workflow Automation.”</w:t>
      </w:r>
      <w:r>
        <w:t xml:space="preserve"> </w:t>
      </w:r>
      <w:r>
        <w:t xml:space="preserve">n.d.</w:t>
      </w:r>
      <w:r>
        <w:t xml:space="preserve"> </w:t>
      </w:r>
      <w:hyperlink r:id="rId63">
        <w:r>
          <w:rPr>
            <w:rStyle w:val="Hyperlink"/>
          </w:rPr>
          <w:t xml:space="preserve">https://n8n.io/</w:t>
        </w:r>
      </w:hyperlink>
      <w:r>
        <w:t xml:space="preserve">.</w:t>
      </w:r>
    </w:p>
    <w:bookmarkEnd w:id="64"/>
    <w:bookmarkStart w:id="65" w:name="ref-Nygard2018"/>
    <w:p>
      <w:pPr>
        <w:pStyle w:val="Bibliography"/>
      </w:pPr>
      <w:r>
        <w:t xml:space="preserve">Nygard, Michael T. 2018.</w:t>
      </w:r>
      <w:r>
        <w:t xml:space="preserve"> </w:t>
      </w:r>
      <w:r>
        <w:rPr>
          <w:i/>
          <w:iCs/>
        </w:rPr>
        <w:t xml:space="preserve">Release It! Design and Deploy Production-Ready Software</w:t>
      </w:r>
      <w:r>
        <w:t xml:space="preserve">. 2nd ed. Pragmatic Bookshelf.</w:t>
      </w:r>
    </w:p>
    <w:bookmarkEnd w:id="65"/>
    <w:bookmarkStart w:id="67" w:name="ref-Vitolo2015"/>
    <w:p>
      <w:pPr>
        <w:pStyle w:val="Bibliography"/>
      </w:pPr>
      <w:r>
        <w:t xml:space="preserve">Vitolo, Claudia, Yehia Elkhatib, Dominik Reusser, Christopher J. A. Macleod, and Wouter Buytaert. 2015.</w:t>
      </w:r>
      <w:r>
        <w:t xml:space="preserve"> </w:t>
      </w:r>
      <w:r>
        <w:t xml:space="preserve">“Web Technologies for Environmental Big Data.”</w:t>
      </w:r>
      <w:r>
        <w:t xml:space="preserve"> </w:t>
      </w:r>
      <w:r>
        <w:rPr>
          <w:i/>
          <w:iCs/>
        </w:rPr>
        <w:t xml:space="preserve">Environmental Modelling &amp; Software</w:t>
      </w:r>
      <w:r>
        <w:t xml:space="preserve"> </w:t>
      </w:r>
      <w:r>
        <w:t xml:space="preserve">63: 185–98.</w:t>
      </w:r>
      <w:r>
        <w:t xml:space="preserve"> </w:t>
      </w:r>
      <w:hyperlink r:id="rId66">
        <w:r>
          <w:rPr>
            <w:rStyle w:val="Hyperlink"/>
          </w:rPr>
          <w:t xml:space="preserve">https://doi.org/10.1016/j.envsoft.2014.10.007</w:t>
        </w:r>
      </w:hyperlink>
      <w:r>
        <w:t xml:space="preserve">.</w:t>
      </w:r>
    </w:p>
    <w:bookmarkEnd w:id="67"/>
    <w:bookmarkStart w:id="69" w:name="ref-Wilkinson2016"/>
    <w:p>
      <w:pPr>
        <w:pStyle w:val="Bibliography"/>
      </w:pPr>
      <w:r>
        <w:t xml:space="preserve">Wilkinson, Mark D., Michel Dumontier, IJsbrand Jan Aalbersberg, Gabrielle Appleton, Myles Axton, Arie Baak, Niklas Blomberg, et al.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160018.</w:t>
      </w:r>
      <w:r>
        <w:t xml:space="preserve"> </w:t>
      </w:r>
      <w:hyperlink r:id="rId68">
        <w:r>
          <w:rPr>
            <w:rStyle w:val="Hyperlink"/>
          </w:rPr>
          <w:t xml:space="preserve">https://doi.org/10.1038/sdata.2016.18</w:t>
        </w:r>
      </w:hyperlink>
      <w:r>
        <w:t xml:space="preserve">.</w:t>
      </w:r>
    </w:p>
    <w:bookmarkEnd w:id="69"/>
    <w:bookmarkStart w:id="71" w:name="ref-Zapier"/>
    <w:p>
      <w:pPr>
        <w:pStyle w:val="Bibliography"/>
      </w:pPr>
      <w:r>
        <w:t xml:space="preserve">“Zapier.”</w:t>
      </w:r>
      <w:r>
        <w:t xml:space="preserve"> </w:t>
      </w:r>
      <w:r>
        <w:t xml:space="preserve">n.d.</w:t>
      </w:r>
      <w:r>
        <w:t xml:space="preserve"> </w:t>
      </w:r>
      <w:hyperlink r:id="rId70">
        <w:r>
          <w:rPr>
            <w:rStyle w:val="Hyperlink"/>
          </w:rPr>
          <w:t xml:space="preserve">https://zapier.com/</w:t>
        </w:r>
      </w:hyperlink>
      <w:r>
        <w:t xml:space="preserve">.</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2" Target="https://airflow.apache.org/" TargetMode="External" /><Relationship Type="http://schemas.openxmlformats.org/officeDocument/2006/relationships/hyperlink" Id="rId66" Target="https://doi.org/10.1016/j.envsoft.2014.10.007" TargetMode="External" /><Relationship Type="http://schemas.openxmlformats.org/officeDocument/2006/relationships/hyperlink" Id="rId68" Target="https://doi.org/10.1038/sdata.2016.18" TargetMode="External" /><Relationship Type="http://schemas.openxmlformats.org/officeDocument/2006/relationships/hyperlink" Id="rId61" Target="https://doi.org/10.1080/01972243.2014.915276" TargetMode="External" /><Relationship Type="http://schemas.openxmlformats.org/officeDocument/2006/relationships/hyperlink" Id="rId59" Target="https://doi.org/10.1093/bioinformatics/btt113" TargetMode="External" /><Relationship Type="http://schemas.openxmlformats.org/officeDocument/2006/relationships/hyperlink" Id="rId56" Target="https://doi.org/10.1109/MS.2014.114" TargetMode="External" /><Relationship Type="http://schemas.openxmlformats.org/officeDocument/2006/relationships/hyperlink" Id="rId54" Target="https://doi.org/10.3389/fninf.2017.00069" TargetMode="External" /><Relationship Type="http://schemas.openxmlformats.org/officeDocument/2006/relationships/hyperlink" Id="rId63" Target="https://n8n.io/" TargetMode="External" /><Relationship Type="http://schemas.openxmlformats.org/officeDocument/2006/relationships/hyperlink" Id="rId70" Target="https://zapier.com/" TargetMode="External" /></Relationships>
</file>

<file path=word/_rels/footnotes.xml.rels><?xml version="1.0" encoding="UTF-8"?><Relationships xmlns="http://schemas.openxmlformats.org/package/2006/relationships"><Relationship Type="http://schemas.openxmlformats.org/officeDocument/2006/relationships/hyperlink" Id="rId52" Target="https://airflow.apache.org/" TargetMode="External" /><Relationship Type="http://schemas.openxmlformats.org/officeDocument/2006/relationships/hyperlink" Id="rId66" Target="https://doi.org/10.1016/j.envsoft.2014.10.007" TargetMode="External" /><Relationship Type="http://schemas.openxmlformats.org/officeDocument/2006/relationships/hyperlink" Id="rId68" Target="https://doi.org/10.1038/sdata.2016.18" TargetMode="External" /><Relationship Type="http://schemas.openxmlformats.org/officeDocument/2006/relationships/hyperlink" Id="rId61" Target="https://doi.org/10.1080/01972243.2014.915276" TargetMode="External" /><Relationship Type="http://schemas.openxmlformats.org/officeDocument/2006/relationships/hyperlink" Id="rId59" Target="https://doi.org/10.1093/bioinformatics/btt113" TargetMode="External" /><Relationship Type="http://schemas.openxmlformats.org/officeDocument/2006/relationships/hyperlink" Id="rId56" Target="https://doi.org/10.1109/MS.2014.114" TargetMode="External" /><Relationship Type="http://schemas.openxmlformats.org/officeDocument/2006/relationships/hyperlink" Id="rId54" Target="https://doi.org/10.3389/fninf.2017.00069" TargetMode="External" /><Relationship Type="http://schemas.openxmlformats.org/officeDocument/2006/relationships/hyperlink" Id="rId63" Target="https://n8n.io/" TargetMode="External" /><Relationship Type="http://schemas.openxmlformats.org/officeDocument/2006/relationships/hyperlink" Id="rId70" Target="https://zapi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ApiLinker: A Declarative Framework for Reproducible REST API Integration in Research Computing</dc:title>
  <dc:creator/>
  <cp:keywords/>
  <dcterms:created xsi:type="dcterms:W3CDTF">2025-12-04T18:15:56Z</dcterms:created>
  <dcterms:modified xsi:type="dcterms:W3CDTF">2025-12-04T18:15:56Z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graphy">
    <vt:lpwstr>paper/paper.bib</vt:lpwstr>
  </property>
  <property fmtid="{D5CDD505-2E9C-101B-9397-08002B2CF9AE}" pid="5" name="date">
    <vt:lpwstr>04 December 2025</vt:lpwstr>
  </property>
  <property fmtid="{D5CDD505-2E9C-101B-9397-08002B2CF9AE}" pid="6" name="tags">
    <vt:lpwstr/>
  </property>
</Properties>
</file>