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7E49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🎯</w:t>
      </w:r>
      <w:r w:rsidRPr="0052249E">
        <w:rPr>
          <w:b/>
          <w:bCs/>
        </w:rPr>
        <w:t xml:space="preserve"> Use case: “Outlier &amp; Aberrant Billing Finder” (MCP</w:t>
      </w:r>
      <w:r w:rsidRPr="0052249E">
        <w:rPr>
          <w:b/>
          <w:bCs/>
        </w:rPr>
        <w:noBreakHyphen/>
        <w:t>orchestrated)</w:t>
      </w:r>
    </w:p>
    <w:p w14:paraId="403E73BC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b/>
          <w:bCs/>
        </w:rPr>
        <w:t>Goal:</w:t>
      </w:r>
      <w:r w:rsidRPr="0052249E">
        <w:t xml:space="preserve"> Pre- and post</w:t>
      </w:r>
      <w:r w:rsidRPr="0052249E">
        <w:noBreakHyphen/>
        <w:t>pay triage of professional and facility claims to (1) flag high</w:t>
      </w:r>
      <w:r w:rsidRPr="0052249E">
        <w:noBreakHyphen/>
        <w:t>risk outliers (e.g., upcoding, unbundling, excessive units), (2) explain “why” with policy</w:t>
      </w:r>
      <w:r w:rsidRPr="0052249E">
        <w:noBreakHyphen/>
        <w:t>anchored evidence, and (3) auto-package auditable case files for SIU/review teams.</w:t>
      </w:r>
    </w:p>
    <w:p w14:paraId="36EADC7F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b/>
          <w:bCs/>
        </w:rPr>
        <w:t>Why MCP?</w:t>
      </w:r>
    </w:p>
    <w:p w14:paraId="6B19CEDF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MCP standardizes how the agent connects to </w:t>
      </w:r>
      <w:r w:rsidRPr="0052249E">
        <w:rPr>
          <w:b/>
          <w:bCs/>
        </w:rPr>
        <w:t>multiple, heterogeneous context sources and tools</w:t>
      </w:r>
      <w:r w:rsidRPr="0052249E">
        <w:t xml:space="preserve">. Your LLM agent becomes the conductor: it fetches coverage rules, calls ML models, runs rules checks, pulls provider registries, and drafts investigator-ready rationales—all through uniform “resources” and “tools.” </w:t>
      </w:r>
      <w:hyperlink r:id="rId5" w:history="1">
        <w:r w:rsidRPr="0052249E">
          <w:rPr>
            <w:rStyle w:val="Hyperlink"/>
          </w:rPr>
          <w:t>[1]</w:t>
        </w:r>
      </w:hyperlink>
      <w:hyperlink r:id="rId6" w:history="1">
        <w:r w:rsidRPr="0052249E">
          <w:rPr>
            <w:rStyle w:val="Hyperlink"/>
          </w:rPr>
          <w:t>[2]</w:t>
        </w:r>
      </w:hyperlink>
    </w:p>
    <w:p w14:paraId="58223FF0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2D91654B">
          <v:rect id="_x0000_i1025" style="width:0;height:1.5pt" o:hralign="center" o:hrstd="t" o:hr="t" fillcolor="#a0a0a0" stroked="f"/>
        </w:pict>
      </w:r>
    </w:p>
    <w:p w14:paraId="34FBCF00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🔗</w:t>
      </w:r>
      <w:r w:rsidRPr="0052249E">
        <w:rPr>
          <w:b/>
          <w:bCs/>
        </w:rPr>
        <w:t xml:space="preserve"> External context &amp; rules the agent should use (with citations)</w:t>
      </w:r>
    </w:p>
    <w:p w14:paraId="3B4113A8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Correct Coding Policies (NCCI)</w:t>
      </w:r>
    </w:p>
    <w:p w14:paraId="4A9BFA02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rPr>
          <w:b/>
          <w:bCs/>
        </w:rPr>
        <w:t>PTP edits</w:t>
      </w:r>
      <w:r w:rsidRPr="0052249E">
        <w:t xml:space="preserve"> to catch </w:t>
      </w:r>
      <w:r w:rsidRPr="0052249E">
        <w:rPr>
          <w:b/>
          <w:bCs/>
        </w:rPr>
        <w:t>unbundling/mutually-exclusive codes</w:t>
      </w:r>
      <w:r w:rsidRPr="0052249E">
        <w:t xml:space="preserve"> and </w:t>
      </w:r>
      <w:r w:rsidRPr="0052249E">
        <w:rPr>
          <w:b/>
          <w:bCs/>
        </w:rPr>
        <w:t>MUEs</w:t>
      </w:r>
      <w:r w:rsidRPr="0052249E">
        <w:t xml:space="preserve"> to cap </w:t>
      </w:r>
      <w:r w:rsidRPr="0052249E">
        <w:rPr>
          <w:b/>
          <w:bCs/>
        </w:rPr>
        <w:t>units-of-service</w:t>
      </w:r>
      <w:r w:rsidRPr="0052249E">
        <w:t xml:space="preserve"> on a DOS. CMS updates these quarterly, and publishes a 2025 policy manual. </w:t>
      </w:r>
      <w:hyperlink r:id="rId7" w:history="1">
        <w:r w:rsidRPr="0052249E">
          <w:rPr>
            <w:rStyle w:val="Hyperlink"/>
          </w:rPr>
          <w:t>[3]</w:t>
        </w:r>
      </w:hyperlink>
      <w:hyperlink r:id="rId8" w:history="1">
        <w:r w:rsidRPr="0052249E">
          <w:rPr>
            <w:rStyle w:val="Hyperlink"/>
          </w:rPr>
          <w:t>[4]</w:t>
        </w:r>
      </w:hyperlink>
      <w:hyperlink r:id="rId9" w:history="1">
        <w:r w:rsidRPr="0052249E">
          <w:rPr>
            <w:rStyle w:val="Hyperlink"/>
          </w:rPr>
          <w:t>[5]</w:t>
        </w:r>
      </w:hyperlink>
    </w:p>
    <w:p w14:paraId="5CD300BB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Coverage policy (LCD/NCD) text &amp; lookups</w:t>
      </w:r>
    </w:p>
    <w:p w14:paraId="25CFF641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t xml:space="preserve">Use CMS’s </w:t>
      </w:r>
      <w:r w:rsidRPr="0052249E">
        <w:rPr>
          <w:b/>
          <w:bCs/>
        </w:rPr>
        <w:t>Medicare Coverage Database</w:t>
      </w:r>
      <w:r w:rsidRPr="0052249E">
        <w:t xml:space="preserve"> for NCD/LCD retrieval and search. </w:t>
      </w:r>
      <w:hyperlink r:id="rId10" w:history="1">
        <w:r w:rsidRPr="0052249E">
          <w:rPr>
            <w:rStyle w:val="Hyperlink"/>
          </w:rPr>
          <w:t>[6]</w:t>
        </w:r>
      </w:hyperlink>
    </w:p>
    <w:p w14:paraId="3626D9CE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Provider identity &amp; specialty</w:t>
      </w:r>
    </w:p>
    <w:p w14:paraId="0B7E848A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rPr>
          <w:b/>
          <w:bCs/>
        </w:rPr>
        <w:t>NPPES NPI Registry API</w:t>
      </w:r>
      <w:r w:rsidRPr="0052249E">
        <w:t xml:space="preserve"> for taxonomy, addresses, organization vs individual, etc. </w:t>
      </w:r>
      <w:hyperlink r:id="rId11" w:history="1">
        <w:r w:rsidRPr="0052249E">
          <w:rPr>
            <w:rStyle w:val="Hyperlink"/>
          </w:rPr>
          <w:t>[7]</w:t>
        </w:r>
      </w:hyperlink>
    </w:p>
    <w:p w14:paraId="0FAF474D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Exclusions (LEIE) &amp; sanctions</w:t>
      </w:r>
    </w:p>
    <w:p w14:paraId="524F0C0B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rPr>
          <w:b/>
          <w:bCs/>
        </w:rPr>
        <w:t>HHS</w:t>
      </w:r>
      <w:r w:rsidRPr="0052249E">
        <w:rPr>
          <w:b/>
          <w:bCs/>
        </w:rPr>
        <w:noBreakHyphen/>
        <w:t>OIG LEIE</w:t>
      </w:r>
      <w:r w:rsidRPr="0052249E">
        <w:t xml:space="preserve"> searchable/downloadable database; updated monthly (good for pre</w:t>
      </w:r>
      <w:r w:rsidRPr="0052249E">
        <w:noBreakHyphen/>
        <w:t>pay blocks and post</w:t>
      </w:r>
      <w:r w:rsidRPr="0052249E">
        <w:noBreakHyphen/>
        <w:t xml:space="preserve">pay flags). </w:t>
      </w:r>
      <w:hyperlink r:id="rId12" w:history="1">
        <w:r w:rsidRPr="0052249E">
          <w:rPr>
            <w:rStyle w:val="Hyperlink"/>
          </w:rPr>
          <w:t>[8]</w:t>
        </w:r>
      </w:hyperlink>
      <w:hyperlink r:id="rId13" w:history="1">
        <w:r w:rsidRPr="0052249E">
          <w:rPr>
            <w:rStyle w:val="Hyperlink"/>
          </w:rPr>
          <w:t>[9]</w:t>
        </w:r>
      </w:hyperlink>
    </w:p>
    <w:p w14:paraId="3D8DEF3E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Program integrity baselines</w:t>
      </w:r>
    </w:p>
    <w:p w14:paraId="091FF0EC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t xml:space="preserve">For context, Medicare FFS improper payment rate FY2024 ≈ </w:t>
      </w:r>
      <w:r w:rsidRPr="0052249E">
        <w:rPr>
          <w:b/>
          <w:bCs/>
        </w:rPr>
        <w:t>7.66% ($31.7B)</w:t>
      </w:r>
      <w:r w:rsidRPr="0052249E">
        <w:t xml:space="preserve">; your KPIs should show reduction vs this macro baseline. </w:t>
      </w:r>
      <w:hyperlink r:id="rId14" w:history="1">
        <w:r w:rsidRPr="0052249E">
          <w:rPr>
            <w:rStyle w:val="Hyperlink"/>
          </w:rPr>
          <w:t>[10]</w:t>
        </w:r>
      </w:hyperlink>
      <w:hyperlink r:id="rId15" w:history="1">
        <w:r w:rsidRPr="0052249E">
          <w:rPr>
            <w:rStyle w:val="Hyperlink"/>
          </w:rPr>
          <w:t>[11]</w:t>
        </w:r>
      </w:hyperlink>
    </w:p>
    <w:p w14:paraId="296A4795" w14:textId="77777777" w:rsidR="0052249E" w:rsidRPr="0052249E" w:rsidRDefault="0052249E" w:rsidP="0052249E">
      <w:pPr>
        <w:numPr>
          <w:ilvl w:val="0"/>
          <w:numId w:val="1"/>
        </w:numPr>
        <w:spacing w:after="0" w:line="240" w:lineRule="auto"/>
        <w:jc w:val="both"/>
      </w:pPr>
      <w:r w:rsidRPr="0052249E">
        <w:rPr>
          <w:b/>
          <w:bCs/>
        </w:rPr>
        <w:t>Telehealth policy nuances</w:t>
      </w:r>
      <w:r w:rsidRPr="0052249E">
        <w:t xml:space="preserve"> (to avoid false positives)</w:t>
      </w:r>
    </w:p>
    <w:p w14:paraId="6D48DB4B" w14:textId="77777777" w:rsidR="0052249E" w:rsidRPr="0052249E" w:rsidRDefault="0052249E" w:rsidP="0052249E">
      <w:pPr>
        <w:numPr>
          <w:ilvl w:val="1"/>
          <w:numId w:val="1"/>
        </w:numPr>
        <w:spacing w:after="0" w:line="240" w:lineRule="auto"/>
        <w:jc w:val="both"/>
      </w:pPr>
      <w:r w:rsidRPr="0052249E">
        <w:t xml:space="preserve">CMS maintains the </w:t>
      </w:r>
      <w:r w:rsidRPr="0052249E">
        <w:rPr>
          <w:b/>
          <w:bCs/>
        </w:rPr>
        <w:t>telehealth eligible services list</w:t>
      </w:r>
      <w:r w:rsidRPr="0052249E">
        <w:t xml:space="preserve"> for CY2025; audio</w:t>
      </w:r>
      <w:r w:rsidRPr="0052249E">
        <w:noBreakHyphen/>
        <w:t xml:space="preserve">only is allowed under certain conditions in home settings (be mindful in POS/modifier checks). </w:t>
      </w:r>
      <w:hyperlink r:id="rId16" w:history="1">
        <w:r w:rsidRPr="0052249E">
          <w:rPr>
            <w:rStyle w:val="Hyperlink"/>
          </w:rPr>
          <w:t>[12]</w:t>
        </w:r>
      </w:hyperlink>
      <w:hyperlink r:id="rId17" w:history="1">
        <w:r w:rsidRPr="0052249E">
          <w:rPr>
            <w:rStyle w:val="Hyperlink"/>
          </w:rPr>
          <w:t>[13]</w:t>
        </w:r>
      </w:hyperlink>
      <w:hyperlink r:id="rId18" w:history="1">
        <w:r w:rsidRPr="0052249E">
          <w:rPr>
            <w:rStyle w:val="Hyperlink"/>
          </w:rPr>
          <w:t>[14]</w:t>
        </w:r>
      </w:hyperlink>
    </w:p>
    <w:p w14:paraId="1F11C6FB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3DE7AB2A">
          <v:rect id="_x0000_i1026" style="width:0;height:1.5pt" o:hralign="center" o:hrstd="t" o:hr="t" fillcolor="#a0a0a0" stroked="f"/>
        </w:pict>
      </w:r>
    </w:p>
    <w:p w14:paraId="080B530B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🧠</w:t>
      </w:r>
      <w:r w:rsidRPr="0052249E">
        <w:rPr>
          <w:b/>
          <w:bCs/>
        </w:rPr>
        <w:t xml:space="preserve"> Modeling blueprint (hybrid)</w:t>
      </w:r>
    </w:p>
    <w:p w14:paraId="357D87E4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You have labels—great for supervised learning. Add </w:t>
      </w:r>
      <w:r w:rsidRPr="0052249E">
        <w:rPr>
          <w:b/>
          <w:bCs/>
        </w:rPr>
        <w:t>unsupervised/graph</w:t>
      </w:r>
      <w:r w:rsidRPr="0052249E">
        <w:t xml:space="preserve"> layers to catch novel patterns and provider networks.</w:t>
      </w:r>
    </w:p>
    <w:p w14:paraId="2BD306D4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Supervised core (primary classifier)</w:t>
      </w:r>
    </w:p>
    <w:p w14:paraId="59B9B40D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t>LightGBM/XGBoost</w:t>
      </w:r>
      <w:r w:rsidRPr="0052249E">
        <w:t xml:space="preserve"> on claim-line and episode features for fraud/waste/abuse propensity.</w:t>
      </w:r>
    </w:p>
    <w:p w14:paraId="443D4A0A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t>Handle extreme imbalance (focal loss or class</w:t>
      </w:r>
      <w:r w:rsidRPr="0052249E">
        <w:noBreakHyphen/>
        <w:t>weighting; thresholding by investigator capacity).</w:t>
      </w:r>
    </w:p>
    <w:p w14:paraId="7E4E2A03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Unsupervised outlier layers</w:t>
      </w:r>
    </w:p>
    <w:p w14:paraId="17AEA0C4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t>Isolation Forest / LOF</w:t>
      </w:r>
      <w:r w:rsidRPr="0052249E">
        <w:t xml:space="preserve"> on per</w:t>
      </w:r>
      <w:r w:rsidRPr="0052249E">
        <w:noBreakHyphen/>
        <w:t xml:space="preserve">provider time series for </w:t>
      </w:r>
      <w:r w:rsidRPr="0052249E">
        <w:rPr>
          <w:b/>
          <w:bCs/>
        </w:rPr>
        <w:t>volume/units</w:t>
      </w:r>
      <w:r w:rsidRPr="0052249E">
        <w:t xml:space="preserve"> spikes;</w:t>
      </w:r>
    </w:p>
    <w:p w14:paraId="215A336E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lastRenderedPageBreak/>
        <w:t>Autoencoder</w:t>
      </w:r>
      <w:r w:rsidRPr="0052249E">
        <w:t xml:space="preserve"> for claim</w:t>
      </w:r>
      <w:r w:rsidRPr="0052249E">
        <w:noBreakHyphen/>
        <w:t>vector reconstruction error (detect emerging patterns).</w:t>
      </w:r>
    </w:p>
    <w:p w14:paraId="1C73CD98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Graph-based signals</w:t>
      </w:r>
    </w:p>
    <w:p w14:paraId="21A2F066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t>Provider–patient–procedure graph</w:t>
      </w:r>
      <w:r w:rsidRPr="0052249E">
        <w:t xml:space="preserve">: compute </w:t>
      </w:r>
      <w:r w:rsidRPr="0052249E">
        <w:rPr>
          <w:b/>
          <w:bCs/>
        </w:rPr>
        <w:t>node embeddings</w:t>
      </w:r>
      <w:r w:rsidRPr="0052249E">
        <w:t xml:space="preserve"> (Node2Vec/GraphSAGE) and </w:t>
      </w:r>
      <w:r w:rsidRPr="0052249E">
        <w:rPr>
          <w:b/>
          <w:bCs/>
        </w:rPr>
        <w:t>centrality</w:t>
      </w:r>
      <w:r w:rsidRPr="0052249E">
        <w:t xml:space="preserve">; flag </w:t>
      </w:r>
      <w:r w:rsidRPr="0052249E">
        <w:rPr>
          <w:b/>
          <w:bCs/>
        </w:rPr>
        <w:t>unusual referral or DME supply chains</w:t>
      </w:r>
      <w:r w:rsidRPr="0052249E">
        <w:t>.</w:t>
      </w:r>
    </w:p>
    <w:p w14:paraId="02ED4B08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Rule &amp; policy checks (hard gates)</w:t>
      </w:r>
    </w:p>
    <w:p w14:paraId="64641A71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t xml:space="preserve">NCCI </w:t>
      </w:r>
      <w:r w:rsidRPr="0052249E">
        <w:rPr>
          <w:b/>
          <w:bCs/>
        </w:rPr>
        <w:t>PTP</w:t>
      </w:r>
      <w:r w:rsidRPr="0052249E">
        <w:t xml:space="preserve"> and </w:t>
      </w:r>
      <w:r w:rsidRPr="0052249E">
        <w:rPr>
          <w:b/>
          <w:bCs/>
        </w:rPr>
        <w:t>MUE</w:t>
      </w:r>
      <w:r w:rsidRPr="0052249E">
        <w:t xml:space="preserve"> validations, </w:t>
      </w:r>
      <w:r w:rsidRPr="0052249E">
        <w:rPr>
          <w:b/>
          <w:bCs/>
        </w:rPr>
        <w:t>modifier logic</w:t>
      </w:r>
      <w:r w:rsidRPr="0052249E">
        <w:t xml:space="preserve"> (e.g., 25, 59), and </w:t>
      </w:r>
      <w:r w:rsidRPr="0052249E">
        <w:rPr>
          <w:b/>
          <w:bCs/>
        </w:rPr>
        <w:t>telehealth</w:t>
      </w:r>
      <w:r w:rsidRPr="0052249E">
        <w:t xml:space="preserve"> code/POS consistency to yield </w:t>
      </w:r>
      <w:r w:rsidRPr="0052249E">
        <w:rPr>
          <w:b/>
          <w:bCs/>
        </w:rPr>
        <w:t>explainable rationales</w:t>
      </w:r>
      <w:r w:rsidRPr="0052249E">
        <w:t xml:space="preserve">. </w:t>
      </w:r>
      <w:hyperlink r:id="rId19" w:history="1">
        <w:r w:rsidRPr="0052249E">
          <w:rPr>
            <w:rStyle w:val="Hyperlink"/>
          </w:rPr>
          <w:t>[3]</w:t>
        </w:r>
      </w:hyperlink>
      <w:hyperlink r:id="rId20" w:history="1">
        <w:r w:rsidRPr="0052249E">
          <w:rPr>
            <w:rStyle w:val="Hyperlink"/>
          </w:rPr>
          <w:t>[4]</w:t>
        </w:r>
      </w:hyperlink>
      <w:hyperlink r:id="rId21" w:history="1">
        <w:r w:rsidRPr="0052249E">
          <w:rPr>
            <w:rStyle w:val="Hyperlink"/>
          </w:rPr>
          <w:t>[12]</w:t>
        </w:r>
      </w:hyperlink>
    </w:p>
    <w:p w14:paraId="6F574528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Provider integrity checks</w:t>
      </w:r>
    </w:p>
    <w:p w14:paraId="0204F3CA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t>LEIE</w:t>
      </w:r>
      <w:r w:rsidRPr="0052249E">
        <w:t xml:space="preserve"> hit = high</w:t>
      </w:r>
      <w:r w:rsidRPr="0052249E">
        <w:noBreakHyphen/>
        <w:t xml:space="preserve">severity block/route; </w:t>
      </w:r>
      <w:r w:rsidRPr="0052249E">
        <w:rPr>
          <w:b/>
          <w:bCs/>
        </w:rPr>
        <w:t>NPPES</w:t>
      </w:r>
      <w:r w:rsidRPr="0052249E">
        <w:t xml:space="preserve"> taxonomy mismatch raises risk weight. </w:t>
      </w:r>
      <w:hyperlink r:id="rId22" w:history="1">
        <w:r w:rsidRPr="0052249E">
          <w:rPr>
            <w:rStyle w:val="Hyperlink"/>
          </w:rPr>
          <w:t>[8]</w:t>
        </w:r>
      </w:hyperlink>
      <w:hyperlink r:id="rId23" w:history="1">
        <w:r w:rsidRPr="0052249E">
          <w:rPr>
            <w:rStyle w:val="Hyperlink"/>
          </w:rPr>
          <w:t>[7]</w:t>
        </w:r>
      </w:hyperlink>
    </w:p>
    <w:p w14:paraId="1309415C" w14:textId="77777777" w:rsidR="0052249E" w:rsidRPr="0052249E" w:rsidRDefault="0052249E" w:rsidP="0052249E">
      <w:pPr>
        <w:numPr>
          <w:ilvl w:val="0"/>
          <w:numId w:val="2"/>
        </w:numPr>
        <w:spacing w:after="0" w:line="240" w:lineRule="auto"/>
        <w:jc w:val="both"/>
      </w:pPr>
      <w:r w:rsidRPr="0052249E">
        <w:rPr>
          <w:b/>
          <w:bCs/>
        </w:rPr>
        <w:t>Explainability &amp; governance</w:t>
      </w:r>
    </w:p>
    <w:p w14:paraId="651D2A02" w14:textId="77777777" w:rsidR="0052249E" w:rsidRPr="0052249E" w:rsidRDefault="0052249E" w:rsidP="0052249E">
      <w:pPr>
        <w:numPr>
          <w:ilvl w:val="1"/>
          <w:numId w:val="2"/>
        </w:numPr>
        <w:spacing w:after="0" w:line="240" w:lineRule="auto"/>
        <w:jc w:val="both"/>
      </w:pPr>
      <w:r w:rsidRPr="0052249E">
        <w:rPr>
          <w:b/>
          <w:bCs/>
        </w:rPr>
        <w:t>SHAP</w:t>
      </w:r>
      <w:r w:rsidRPr="0052249E">
        <w:t xml:space="preserve"> for model explanations; retain </w:t>
      </w:r>
      <w:r w:rsidRPr="0052249E">
        <w:rPr>
          <w:b/>
          <w:bCs/>
        </w:rPr>
        <w:t>policy snippets</w:t>
      </w:r>
      <w:r w:rsidRPr="0052249E">
        <w:t xml:space="preserve"> (NCCI/LCD) as citations in the case packet for audit defensibility. </w:t>
      </w:r>
      <w:hyperlink r:id="rId24" w:history="1">
        <w:r w:rsidRPr="0052249E">
          <w:rPr>
            <w:rStyle w:val="Hyperlink"/>
          </w:rPr>
          <w:t>[5]</w:t>
        </w:r>
      </w:hyperlink>
      <w:hyperlink r:id="rId25" w:history="1">
        <w:r w:rsidRPr="0052249E">
          <w:rPr>
            <w:rStyle w:val="Hyperlink"/>
          </w:rPr>
          <w:t>[6]</w:t>
        </w:r>
      </w:hyperlink>
    </w:p>
    <w:p w14:paraId="2AE1796D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7B9E3795">
          <v:rect id="_x0000_i1027" style="width:0;height:1.5pt" o:hralign="center" o:hrstd="t" o:hr="t" fillcolor="#a0a0a0" stroked="f"/>
        </w:pict>
      </w:r>
    </w:p>
    <w:p w14:paraId="26FC1740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🧱</w:t>
      </w:r>
      <w:r w:rsidRPr="0052249E">
        <w:rPr>
          <w:b/>
          <w:bCs/>
        </w:rPr>
        <w:t xml:space="preserve"> MCP architecture (high level)</w:t>
      </w:r>
    </w:p>
    <w:p w14:paraId="3014C51F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b/>
          <w:bCs/>
        </w:rPr>
        <w:t>MCP Client (agent)</w:t>
      </w:r>
      <w:r w:rsidRPr="0052249E">
        <w:t xml:space="preserve"> hosted in your secure environment\ </w:t>
      </w:r>
      <w:r w:rsidRPr="0052249E">
        <w:rPr>
          <w:b/>
          <w:bCs/>
        </w:rPr>
        <w:t>MCP Servers</w:t>
      </w:r>
      <w:r w:rsidRPr="0052249E">
        <w:t xml:space="preserve"> expose tools/resources the agent can call:</w:t>
      </w:r>
    </w:p>
    <w:p w14:paraId="27DB0C0E" w14:textId="77777777" w:rsidR="0052249E" w:rsidRPr="0052249E" w:rsidRDefault="0052249E" w:rsidP="0052249E">
      <w:pPr>
        <w:spacing w:after="0" w:line="240" w:lineRule="auto"/>
        <w:jc w:val="both"/>
      </w:pPr>
      <w:r w:rsidRPr="0052249E">
        <w:t>{</w:t>
      </w:r>
    </w:p>
    <w:p w14:paraId="196A4E1A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 "servers": [</w:t>
      </w:r>
    </w:p>
    <w:p w14:paraId="1E430D32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{</w:t>
      </w:r>
    </w:p>
    <w:p w14:paraId="0D5DF129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"name": "claims-warehouse",</w:t>
      </w:r>
    </w:p>
    <w:p w14:paraId="67F97BFF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"resources": [</w:t>
      </w:r>
    </w:p>
    <w:p w14:paraId="6916D820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{"uri": "sql://databricks/claims", "description": "Claims &amp; adjudication tables"},</w:t>
      </w:r>
    </w:p>
    <w:p w14:paraId="2C6E3272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{"uri": "sql://databricks/providers", "description": "Provider master / panels"}</w:t>
      </w:r>
    </w:p>
    <w:p w14:paraId="1A920BB2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],</w:t>
      </w:r>
    </w:p>
    <w:p w14:paraId="6FD75BB1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"tools": [</w:t>
      </w:r>
    </w:p>
    <w:p w14:paraId="33E57FB3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{"name": "run</w:t>
      </w:r>
      <w:r w:rsidRPr="0052249E">
        <w:rPr>
          <w:i/>
          <w:iCs/>
        </w:rPr>
        <w:t>sql", "inputSchema": {"sql": "string", "params": "object"}}</w:t>
      </w:r>
    </w:p>
    <w:p w14:paraId="0660CD2C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]</w:t>
      </w:r>
    </w:p>
    <w:p w14:paraId="4AABCDFA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 },</w:t>
      </w:r>
    </w:p>
    <w:p w14:paraId="3C09C41D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 {</w:t>
      </w:r>
    </w:p>
    <w:p w14:paraId="5DB573A3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"name": "cms-ncci",</w:t>
      </w:r>
    </w:p>
    <w:p w14:paraId="15220BA9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"resources": [</w:t>
      </w:r>
    </w:p>
    <w:p w14:paraId="562604E5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{"uri": "https://www.cms.gov/medicare/coding-billing/ncci-medicare", "description": "PTP rules &amp; manuals"},</w:t>
      </w:r>
    </w:p>
    <w:p w14:paraId="0B96AF5E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{"uri": "https://www.cms.gov/medicare/coding-billing/ncci-medically-unlikely-edits", "description": "MUE tables"}</w:t>
      </w:r>
    </w:p>
    <w:p w14:paraId="2ED26B63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],</w:t>
      </w:r>
    </w:p>
    <w:p w14:paraId="596E7E5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"tools": [</w:t>
      </w:r>
    </w:p>
    <w:p w14:paraId="7EF0E2F5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{"name": "ptp</w:t>
      </w:r>
      <w:r w:rsidRPr="0052249E">
        <w:t>check", "inputSchema": {"hcpcs": "string[]", "dos": "string"}},</w:t>
      </w:r>
    </w:p>
    <w:p w14:paraId="7A3FC2AB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{"name": "mue</w:t>
      </w:r>
      <w:r w:rsidRPr="0052249E">
        <w:rPr>
          <w:i/>
          <w:iCs/>
        </w:rPr>
        <w:t>check", "inputSchema": {"hcpcs": "string", "uom": "number", "dos": "string"}}</w:t>
      </w:r>
    </w:p>
    <w:p w14:paraId="7B1C0916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]</w:t>
      </w:r>
    </w:p>
    <w:p w14:paraId="7D9591A4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lastRenderedPageBreak/>
        <w:t>    },</w:t>
      </w:r>
    </w:p>
    <w:p w14:paraId="6E013C2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 {</w:t>
      </w:r>
    </w:p>
    <w:p w14:paraId="406CD26C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"name": "coverage-policy",</w:t>
      </w:r>
    </w:p>
    <w:p w14:paraId="29D14CA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"resources": [</w:t>
      </w:r>
    </w:p>
    <w:p w14:paraId="5D759CB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{"uri": "https://www.cms.gov/medicare-coverage-database/search.aspx", "description": "NCD/LCD"}</w:t>
      </w:r>
    </w:p>
    <w:p w14:paraId="04093B33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],</w:t>
      </w:r>
    </w:p>
    <w:p w14:paraId="7130C188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"tools": [</w:t>
      </w:r>
    </w:p>
    <w:p w14:paraId="767D6C79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{"name": "lookup</w:t>
      </w:r>
      <w:r w:rsidRPr="0052249E">
        <w:t>lcd", "inputSchema": {"code": "string", "mac": "string"}}</w:t>
      </w:r>
    </w:p>
    <w:p w14:paraId="44B757B7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]</w:t>
      </w:r>
    </w:p>
    <w:p w14:paraId="48ACE7C3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},</w:t>
      </w:r>
    </w:p>
    <w:p w14:paraId="2C440D57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{</w:t>
      </w:r>
    </w:p>
    <w:p w14:paraId="49C092DA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"name": "provider-identity",</w:t>
      </w:r>
    </w:p>
    <w:p w14:paraId="7BCEA3A3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"tools": [</w:t>
      </w:r>
    </w:p>
    <w:p w14:paraId="41689A61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{"name": "npi</w:t>
      </w:r>
      <w:r w:rsidRPr="0052249E">
        <w:rPr>
          <w:i/>
          <w:iCs/>
        </w:rPr>
        <w:t>lookup", "inputSchema": {"npi": "string"}},   // NPPES API</w:t>
      </w:r>
    </w:p>
    <w:p w14:paraId="64F73FF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{"name": "leie</w:t>
      </w:r>
      <w:r w:rsidRPr="0052249E">
        <w:t>check", "inputSchema": {"npi": "string", "name": "string"}} // OIG LEIE</w:t>
      </w:r>
    </w:p>
    <w:p w14:paraId="7C5D1667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]</w:t>
      </w:r>
    </w:p>
    <w:p w14:paraId="1A31786A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},</w:t>
      </w:r>
    </w:p>
    <w:p w14:paraId="76E52BE2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{</w:t>
      </w:r>
    </w:p>
    <w:p w14:paraId="50D171D7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"name": "models",</w:t>
      </w:r>
    </w:p>
    <w:p w14:paraId="0E091EF3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"tools": [</w:t>
      </w:r>
    </w:p>
    <w:p w14:paraId="0EF4FB97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{"name": "score</w:t>
      </w:r>
      <w:r w:rsidRPr="0052249E">
        <w:rPr>
          <w:i/>
          <w:iCs/>
        </w:rPr>
        <w:t>supervised", "inputSchema": {"claim</w:t>
      </w:r>
      <w:r w:rsidRPr="0052249E">
        <w:t>ids": "string[]"}},</w:t>
      </w:r>
    </w:p>
    <w:p w14:paraId="676482E1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   {"name": "score</w:t>
      </w:r>
      <w:r w:rsidRPr="0052249E">
        <w:rPr>
          <w:i/>
          <w:iCs/>
        </w:rPr>
        <w:t>outlier", "inputSchema": {"provider</w:t>
      </w:r>
      <w:r w:rsidRPr="0052249E">
        <w:t>id": "string", "window</w:t>
      </w:r>
      <w:r w:rsidRPr="0052249E">
        <w:rPr>
          <w:i/>
          <w:iCs/>
        </w:rPr>
        <w:t>days": "number"}},</w:t>
      </w:r>
    </w:p>
    <w:p w14:paraId="15FDE654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{"name": "graph</w:t>
      </w:r>
      <w:r w:rsidRPr="0052249E">
        <w:t>score", "inputSchema": {"provider</w:t>
      </w:r>
      <w:r w:rsidRPr="0052249E">
        <w:rPr>
          <w:i/>
          <w:iCs/>
        </w:rPr>
        <w:t>id": "string"}}</w:t>
      </w:r>
    </w:p>
    <w:p w14:paraId="4879F045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]</w:t>
      </w:r>
    </w:p>
    <w:p w14:paraId="0903530C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 },</w:t>
      </w:r>
    </w:p>
    <w:p w14:paraId="5F95ADE0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 {</w:t>
      </w:r>
    </w:p>
    <w:p w14:paraId="0C3C6543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"name": "case-management",</w:t>
      </w:r>
    </w:p>
    <w:p w14:paraId="04056AA0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 "tools": [</w:t>
      </w:r>
    </w:p>
    <w:p w14:paraId="5ED820D7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      {"name": "open</w:t>
      </w:r>
      <w:r w:rsidRPr="0052249E">
        <w:t>case", "inputSchema": {"subject": "string", "body": "string", "attachments": "string[]"}}</w:t>
      </w:r>
    </w:p>
    <w:p w14:paraId="2470B219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   ]</w:t>
      </w:r>
    </w:p>
    <w:p w14:paraId="126D2255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   }</w:t>
      </w:r>
    </w:p>
    <w:p w14:paraId="7FCAC1A9" w14:textId="77777777" w:rsidR="0052249E" w:rsidRPr="0052249E" w:rsidRDefault="0052249E" w:rsidP="0052249E">
      <w:pPr>
        <w:spacing w:after="0" w:line="240" w:lineRule="auto"/>
        <w:jc w:val="both"/>
      </w:pPr>
      <w:r w:rsidRPr="0052249E">
        <w:t>  ]</w:t>
      </w:r>
    </w:p>
    <w:p w14:paraId="207465BC" w14:textId="77777777" w:rsidR="0052249E" w:rsidRPr="0052249E" w:rsidRDefault="0052249E" w:rsidP="0052249E">
      <w:pPr>
        <w:spacing w:after="0" w:line="240" w:lineRule="auto"/>
        <w:jc w:val="both"/>
      </w:pPr>
      <w:r w:rsidRPr="0052249E">
        <w:t>}</w:t>
      </w:r>
    </w:p>
    <w:p w14:paraId="2C6FA228" w14:textId="77777777" w:rsidR="0052249E" w:rsidRPr="0052249E" w:rsidRDefault="0052249E" w:rsidP="0052249E">
      <w:pPr>
        <w:numPr>
          <w:ilvl w:val="0"/>
          <w:numId w:val="3"/>
        </w:numPr>
        <w:spacing w:after="0" w:line="240" w:lineRule="auto"/>
        <w:jc w:val="both"/>
      </w:pPr>
      <w:r w:rsidRPr="0052249E">
        <w:t xml:space="preserve">MCP lets the agent </w:t>
      </w:r>
      <w:r w:rsidRPr="0052249E">
        <w:rPr>
          <w:b/>
          <w:bCs/>
        </w:rPr>
        <w:t>compose</w:t>
      </w:r>
      <w:r w:rsidRPr="0052249E">
        <w:t xml:space="preserve"> these calls, combine </w:t>
      </w:r>
      <w:r w:rsidRPr="0052249E">
        <w:rPr>
          <w:b/>
          <w:bCs/>
        </w:rPr>
        <w:t>Resources</w:t>
      </w:r>
      <w:r w:rsidRPr="0052249E">
        <w:t xml:space="preserve"> with </w:t>
      </w:r>
      <w:r w:rsidRPr="0052249E">
        <w:rPr>
          <w:b/>
          <w:bCs/>
        </w:rPr>
        <w:t>Tools</w:t>
      </w:r>
      <w:r w:rsidRPr="0052249E">
        <w:t xml:space="preserve">, and produce a </w:t>
      </w:r>
      <w:r w:rsidRPr="0052249E">
        <w:rPr>
          <w:b/>
          <w:bCs/>
        </w:rPr>
        <w:t>traceable, policy-cited output</w:t>
      </w:r>
      <w:r w:rsidRPr="0052249E">
        <w:t xml:space="preserve"> for reviewers. </w:t>
      </w:r>
      <w:hyperlink r:id="rId26" w:history="1">
        <w:r w:rsidRPr="0052249E">
          <w:rPr>
            <w:rStyle w:val="Hyperlink"/>
          </w:rPr>
          <w:t>[1]</w:t>
        </w:r>
      </w:hyperlink>
    </w:p>
    <w:p w14:paraId="51ACAF99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7FC73A59">
          <v:rect id="_x0000_i1028" style="width:0;height:1.5pt" o:hralign="center" o:hrstd="t" o:hr="t" fillcolor="#a0a0a0" stroked="f"/>
        </w:pict>
      </w:r>
    </w:p>
    <w:p w14:paraId="68D95CF7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🧪</w:t>
      </w:r>
      <w:r w:rsidRPr="0052249E">
        <w:rPr>
          <w:b/>
          <w:bCs/>
        </w:rPr>
        <w:t xml:space="preserve"> Detection logic the agent will follow (simplified)</w:t>
      </w:r>
    </w:p>
    <w:p w14:paraId="75D06E82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Fetch cohort</w:t>
      </w:r>
      <w:r w:rsidRPr="0052249E">
        <w:t>: Daily incremental claims (pre</w:t>
      </w:r>
      <w:r w:rsidRPr="0052249E">
        <w:noBreakHyphen/>
        <w:t xml:space="preserve"> or post</w:t>
      </w:r>
      <w:r w:rsidRPr="0052249E">
        <w:noBreakHyphen/>
        <w:t>adjudication).</w:t>
      </w:r>
    </w:p>
    <w:p w14:paraId="582C57F4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Run rules</w:t>
      </w:r>
      <w:r w:rsidRPr="0052249E">
        <w:t>:</w:t>
      </w:r>
    </w:p>
    <w:p w14:paraId="383706AE" w14:textId="77777777" w:rsidR="0052249E" w:rsidRPr="0052249E" w:rsidRDefault="0052249E" w:rsidP="0052249E">
      <w:pPr>
        <w:numPr>
          <w:ilvl w:val="1"/>
          <w:numId w:val="4"/>
        </w:numPr>
        <w:spacing w:after="0" w:line="240" w:lineRule="auto"/>
        <w:jc w:val="both"/>
      </w:pPr>
      <w:r w:rsidRPr="0052249E">
        <w:t xml:space="preserve">PTP/MUE checks (hard fails/soft flags). </w:t>
      </w:r>
      <w:hyperlink r:id="rId27" w:history="1">
        <w:r w:rsidRPr="0052249E">
          <w:rPr>
            <w:rStyle w:val="Hyperlink"/>
          </w:rPr>
          <w:t>[3]</w:t>
        </w:r>
      </w:hyperlink>
      <w:hyperlink r:id="rId28" w:history="1">
        <w:r w:rsidRPr="0052249E">
          <w:rPr>
            <w:rStyle w:val="Hyperlink"/>
          </w:rPr>
          <w:t>[4]</w:t>
        </w:r>
      </w:hyperlink>
    </w:p>
    <w:p w14:paraId="32080F4A" w14:textId="77777777" w:rsidR="0052249E" w:rsidRPr="0052249E" w:rsidRDefault="0052249E" w:rsidP="0052249E">
      <w:pPr>
        <w:numPr>
          <w:ilvl w:val="1"/>
          <w:numId w:val="4"/>
        </w:numPr>
        <w:spacing w:after="0" w:line="240" w:lineRule="auto"/>
        <w:jc w:val="both"/>
      </w:pPr>
      <w:r w:rsidRPr="0052249E">
        <w:lastRenderedPageBreak/>
        <w:t>Telehealth consistency (HCPCS ↔ POS ↔ modifiers; allow audio</w:t>
      </w:r>
      <w:r w:rsidRPr="0052249E">
        <w:noBreakHyphen/>
        <w:t xml:space="preserve">only where policy permits). </w:t>
      </w:r>
      <w:hyperlink r:id="rId29" w:history="1">
        <w:r w:rsidRPr="0052249E">
          <w:rPr>
            <w:rStyle w:val="Hyperlink"/>
          </w:rPr>
          <w:t>[12]</w:t>
        </w:r>
      </w:hyperlink>
      <w:hyperlink r:id="rId30" w:history="1">
        <w:r w:rsidRPr="0052249E">
          <w:rPr>
            <w:rStyle w:val="Hyperlink"/>
          </w:rPr>
          <w:t>[13]</w:t>
        </w:r>
      </w:hyperlink>
    </w:p>
    <w:p w14:paraId="7A3F47B2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Provider vetting</w:t>
      </w:r>
      <w:r w:rsidRPr="0052249E">
        <w:t xml:space="preserve">: NPPES taxonomy confirmation, LEIE exclusion. </w:t>
      </w:r>
      <w:hyperlink r:id="rId31" w:history="1">
        <w:r w:rsidRPr="0052249E">
          <w:rPr>
            <w:rStyle w:val="Hyperlink"/>
          </w:rPr>
          <w:t>[7]</w:t>
        </w:r>
      </w:hyperlink>
      <w:hyperlink r:id="rId32" w:history="1">
        <w:r w:rsidRPr="0052249E">
          <w:rPr>
            <w:rStyle w:val="Hyperlink"/>
          </w:rPr>
          <w:t>[8]</w:t>
        </w:r>
      </w:hyperlink>
    </w:p>
    <w:p w14:paraId="68AE723F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ML scoring</w:t>
      </w:r>
      <w:r w:rsidRPr="0052249E">
        <w:t xml:space="preserve">: Return </w:t>
      </w:r>
      <w:r w:rsidRPr="0052249E">
        <w:rPr>
          <w:b/>
          <w:bCs/>
        </w:rPr>
        <w:t>P(fraud/waste/abuse)</w:t>
      </w:r>
      <w:r w:rsidRPr="0052249E">
        <w:t xml:space="preserve">, </w:t>
      </w:r>
      <w:r w:rsidRPr="0052249E">
        <w:rPr>
          <w:b/>
          <w:bCs/>
        </w:rPr>
        <w:t>outlier scores</w:t>
      </w:r>
      <w:r w:rsidRPr="0052249E">
        <w:t xml:space="preserve">, and </w:t>
      </w:r>
      <w:r w:rsidRPr="0052249E">
        <w:rPr>
          <w:b/>
          <w:bCs/>
        </w:rPr>
        <w:t>graph anomaly</w:t>
      </w:r>
      <w:r w:rsidRPr="0052249E">
        <w:t>.</w:t>
      </w:r>
    </w:p>
    <w:p w14:paraId="0761BB06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Evidence building</w:t>
      </w:r>
      <w:r w:rsidRPr="0052249E">
        <w:t>:</w:t>
      </w:r>
    </w:p>
    <w:p w14:paraId="4B508A61" w14:textId="77777777" w:rsidR="0052249E" w:rsidRPr="0052249E" w:rsidRDefault="0052249E" w:rsidP="0052249E">
      <w:pPr>
        <w:numPr>
          <w:ilvl w:val="1"/>
          <w:numId w:val="4"/>
        </w:numPr>
        <w:spacing w:after="0" w:line="240" w:lineRule="auto"/>
        <w:jc w:val="both"/>
      </w:pPr>
      <w:r w:rsidRPr="0052249E">
        <w:t xml:space="preserve">Attach </w:t>
      </w:r>
      <w:r w:rsidRPr="0052249E">
        <w:rPr>
          <w:b/>
          <w:bCs/>
        </w:rPr>
        <w:t>policy excerpts</w:t>
      </w:r>
      <w:r w:rsidRPr="0052249E">
        <w:t xml:space="preserve"> (LCD/NCCI) and </w:t>
      </w:r>
      <w:r w:rsidRPr="0052249E">
        <w:rPr>
          <w:b/>
          <w:bCs/>
        </w:rPr>
        <w:t>explanations</w:t>
      </w:r>
      <w:r w:rsidRPr="0052249E">
        <w:t xml:space="preserve"> (SHAP top features). </w:t>
      </w:r>
      <w:hyperlink r:id="rId33" w:history="1">
        <w:r w:rsidRPr="0052249E">
          <w:rPr>
            <w:rStyle w:val="Hyperlink"/>
          </w:rPr>
          <w:t>[5]</w:t>
        </w:r>
      </w:hyperlink>
      <w:hyperlink r:id="rId34" w:history="1">
        <w:r w:rsidRPr="0052249E">
          <w:rPr>
            <w:rStyle w:val="Hyperlink"/>
          </w:rPr>
          <w:t>[6]</w:t>
        </w:r>
      </w:hyperlink>
    </w:p>
    <w:p w14:paraId="6BD983BA" w14:textId="77777777" w:rsidR="0052249E" w:rsidRPr="0052249E" w:rsidRDefault="0052249E" w:rsidP="0052249E">
      <w:pPr>
        <w:numPr>
          <w:ilvl w:val="0"/>
          <w:numId w:val="4"/>
        </w:numPr>
        <w:spacing w:after="0" w:line="240" w:lineRule="auto"/>
        <w:jc w:val="both"/>
      </w:pPr>
      <w:r w:rsidRPr="0052249E">
        <w:rPr>
          <w:b/>
          <w:bCs/>
        </w:rPr>
        <w:t>Triage &amp; case open</w:t>
      </w:r>
      <w:r w:rsidRPr="0052249E">
        <w:t>: Top</w:t>
      </w:r>
      <w:r w:rsidRPr="0052249E">
        <w:noBreakHyphen/>
        <w:t xml:space="preserve">K by </w:t>
      </w:r>
      <w:r w:rsidRPr="0052249E">
        <w:rPr>
          <w:b/>
          <w:bCs/>
        </w:rPr>
        <w:t>expected recovery = score × allowed_amt</w:t>
      </w:r>
      <w:r w:rsidRPr="0052249E">
        <w:t>; auto</w:t>
      </w:r>
      <w:r w:rsidRPr="0052249E">
        <w:noBreakHyphen/>
        <w:t>draft investigator packet.</w:t>
      </w:r>
    </w:p>
    <w:p w14:paraId="129F6445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191665D7">
          <v:rect id="_x0000_i1029" style="width:0;height:1.5pt" o:hralign="center" o:hrstd="t" o:hr="t" fillcolor="#a0a0a0" stroked="f"/>
        </w:pict>
      </w:r>
    </w:p>
    <w:p w14:paraId="07D65B8C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🧩</w:t>
      </w:r>
      <w:r w:rsidRPr="0052249E">
        <w:rPr>
          <w:b/>
          <w:bCs/>
        </w:rPr>
        <w:t xml:space="preserve"> Feature ideas (claim-, provider-, &amp; policy-aware)</w:t>
      </w:r>
    </w:p>
    <w:p w14:paraId="4582D157" w14:textId="77777777" w:rsidR="0052249E" w:rsidRPr="0052249E" w:rsidRDefault="0052249E" w:rsidP="0052249E">
      <w:pPr>
        <w:numPr>
          <w:ilvl w:val="0"/>
          <w:numId w:val="5"/>
        </w:numPr>
        <w:spacing w:after="0" w:line="240" w:lineRule="auto"/>
        <w:jc w:val="both"/>
      </w:pPr>
      <w:r w:rsidRPr="0052249E">
        <w:rPr>
          <w:b/>
          <w:bCs/>
        </w:rPr>
        <w:t>Claim-line</w:t>
      </w:r>
      <w:r w:rsidRPr="0052249E">
        <w:t xml:space="preserve">: HCPCS/CPT, modifiers (e.g., </w:t>
      </w:r>
      <w:r w:rsidRPr="0052249E">
        <w:rPr>
          <w:b/>
          <w:bCs/>
        </w:rPr>
        <w:t>25</w:t>
      </w:r>
      <w:r w:rsidRPr="0052249E">
        <w:t xml:space="preserve">, </w:t>
      </w:r>
      <w:r w:rsidRPr="0052249E">
        <w:rPr>
          <w:b/>
          <w:bCs/>
        </w:rPr>
        <w:t>59</w:t>
      </w:r>
      <w:r w:rsidRPr="0052249E">
        <w:t xml:space="preserve">), units, POS, revenue code, allowed/paid, prior auth, Dx bundle. (Modifier 25 is often misused; keep explicit patterns &amp; peer benchmarks.) </w:t>
      </w:r>
      <w:hyperlink r:id="rId35" w:history="1">
        <w:r w:rsidRPr="0052249E">
          <w:rPr>
            <w:rStyle w:val="Hyperlink"/>
          </w:rPr>
          <w:t>[15]</w:t>
        </w:r>
      </w:hyperlink>
      <w:hyperlink r:id="rId36" w:history="1">
        <w:r w:rsidRPr="0052249E">
          <w:rPr>
            <w:rStyle w:val="Hyperlink"/>
          </w:rPr>
          <w:t>[16]</w:t>
        </w:r>
      </w:hyperlink>
    </w:p>
    <w:p w14:paraId="46A5DB62" w14:textId="77777777" w:rsidR="0052249E" w:rsidRPr="0052249E" w:rsidRDefault="0052249E" w:rsidP="0052249E">
      <w:pPr>
        <w:numPr>
          <w:ilvl w:val="0"/>
          <w:numId w:val="5"/>
        </w:numPr>
        <w:spacing w:after="0" w:line="240" w:lineRule="auto"/>
        <w:jc w:val="both"/>
      </w:pPr>
      <w:r w:rsidRPr="0052249E">
        <w:rPr>
          <w:b/>
          <w:bCs/>
        </w:rPr>
        <w:t>Episode</w:t>
      </w:r>
      <w:r w:rsidRPr="0052249E">
        <w:t xml:space="preserve">: rolling </w:t>
      </w:r>
      <w:r w:rsidRPr="0052249E">
        <w:rPr>
          <w:b/>
          <w:bCs/>
        </w:rPr>
        <w:t>units/day</w:t>
      </w:r>
      <w:r w:rsidRPr="0052249E">
        <w:t xml:space="preserve"> caps, </w:t>
      </w:r>
      <w:r w:rsidRPr="0052249E">
        <w:rPr>
          <w:b/>
          <w:bCs/>
        </w:rPr>
        <w:t>frequency</w:t>
      </w:r>
      <w:r w:rsidRPr="0052249E">
        <w:t xml:space="preserve"> vs MUEs, proximity of related codes violating PTP. </w:t>
      </w:r>
      <w:hyperlink r:id="rId37" w:history="1">
        <w:r w:rsidRPr="0052249E">
          <w:rPr>
            <w:rStyle w:val="Hyperlink"/>
          </w:rPr>
          <w:t>[4]</w:t>
        </w:r>
      </w:hyperlink>
      <w:hyperlink r:id="rId38" w:history="1">
        <w:r w:rsidRPr="0052249E">
          <w:rPr>
            <w:rStyle w:val="Hyperlink"/>
          </w:rPr>
          <w:t>[3]</w:t>
        </w:r>
      </w:hyperlink>
    </w:p>
    <w:p w14:paraId="63DE2434" w14:textId="77777777" w:rsidR="0052249E" w:rsidRPr="0052249E" w:rsidRDefault="0052249E" w:rsidP="0052249E">
      <w:pPr>
        <w:numPr>
          <w:ilvl w:val="0"/>
          <w:numId w:val="5"/>
        </w:numPr>
        <w:spacing w:after="0" w:line="240" w:lineRule="auto"/>
        <w:jc w:val="both"/>
      </w:pPr>
      <w:r w:rsidRPr="0052249E">
        <w:rPr>
          <w:b/>
          <w:bCs/>
        </w:rPr>
        <w:t>Provider</w:t>
      </w:r>
      <w:r w:rsidRPr="0052249E">
        <w:t>: specialty taxonomy (NPPES), historical peer z</w:t>
      </w:r>
      <w:r w:rsidRPr="0052249E">
        <w:noBreakHyphen/>
        <w:t xml:space="preserve">scores by HCPCS, unusual growth, weekend/holiday density, LEIE status. </w:t>
      </w:r>
      <w:hyperlink r:id="rId39" w:history="1">
        <w:r w:rsidRPr="0052249E">
          <w:rPr>
            <w:rStyle w:val="Hyperlink"/>
          </w:rPr>
          <w:t>[7]</w:t>
        </w:r>
      </w:hyperlink>
      <w:hyperlink r:id="rId40" w:history="1">
        <w:r w:rsidRPr="0052249E">
          <w:rPr>
            <w:rStyle w:val="Hyperlink"/>
          </w:rPr>
          <w:t>[8]</w:t>
        </w:r>
      </w:hyperlink>
    </w:p>
    <w:p w14:paraId="5C1FC46B" w14:textId="77777777" w:rsidR="0052249E" w:rsidRPr="0052249E" w:rsidRDefault="0052249E" w:rsidP="0052249E">
      <w:pPr>
        <w:numPr>
          <w:ilvl w:val="0"/>
          <w:numId w:val="5"/>
        </w:numPr>
        <w:spacing w:after="0" w:line="240" w:lineRule="auto"/>
        <w:jc w:val="both"/>
      </w:pPr>
      <w:r w:rsidRPr="0052249E">
        <w:rPr>
          <w:b/>
          <w:bCs/>
        </w:rPr>
        <w:t>Coverage alignment</w:t>
      </w:r>
      <w:r w:rsidRPr="0052249E">
        <w:t xml:space="preserve">: LCD/NCD match/mismatch (local coverage nuances cause regional variation). </w:t>
      </w:r>
      <w:hyperlink r:id="rId41" w:history="1">
        <w:r w:rsidRPr="0052249E">
          <w:rPr>
            <w:rStyle w:val="Hyperlink"/>
          </w:rPr>
          <w:t>[6]</w:t>
        </w:r>
      </w:hyperlink>
    </w:p>
    <w:p w14:paraId="49BF1B6E" w14:textId="77777777" w:rsidR="0052249E" w:rsidRPr="0052249E" w:rsidRDefault="0052249E" w:rsidP="0052249E">
      <w:pPr>
        <w:numPr>
          <w:ilvl w:val="0"/>
          <w:numId w:val="5"/>
        </w:numPr>
        <w:spacing w:after="0" w:line="240" w:lineRule="auto"/>
        <w:jc w:val="both"/>
      </w:pPr>
      <w:r w:rsidRPr="0052249E">
        <w:rPr>
          <w:b/>
          <w:bCs/>
        </w:rPr>
        <w:t>Telehealth</w:t>
      </w:r>
      <w:r w:rsidRPr="0052249E">
        <w:t>: code</w:t>
      </w:r>
      <w:r w:rsidRPr="0052249E">
        <w:noBreakHyphen/>
        <w:t>POS consistency, audio</w:t>
      </w:r>
      <w:r w:rsidRPr="0052249E">
        <w:noBreakHyphen/>
        <w:t xml:space="preserve">only eligibility, frequency limits suspensions as applicable. </w:t>
      </w:r>
      <w:hyperlink r:id="rId42" w:history="1">
        <w:r w:rsidRPr="0052249E">
          <w:rPr>
            <w:rStyle w:val="Hyperlink"/>
          </w:rPr>
          <w:t>[12]</w:t>
        </w:r>
      </w:hyperlink>
      <w:hyperlink r:id="rId43" w:history="1">
        <w:r w:rsidRPr="0052249E">
          <w:rPr>
            <w:rStyle w:val="Hyperlink"/>
          </w:rPr>
          <w:t>[14]</w:t>
        </w:r>
      </w:hyperlink>
    </w:p>
    <w:p w14:paraId="438C2DA4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0B4DA62D">
          <v:rect id="_x0000_i1030" style="width:0;height:1.5pt" o:hralign="center" o:hrstd="t" o:hr="t" fillcolor="#a0a0a0" stroked="f"/>
        </w:pict>
      </w:r>
    </w:p>
    <w:p w14:paraId="73BFCEE2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📦</w:t>
      </w:r>
      <w:r w:rsidRPr="0052249E">
        <w:rPr>
          <w:b/>
          <w:bCs/>
        </w:rPr>
        <w:t xml:space="preserve"> Example: agent’s investigator packet (auto</w:t>
      </w:r>
      <w:r w:rsidRPr="0052249E">
        <w:rPr>
          <w:b/>
          <w:bCs/>
        </w:rPr>
        <w:noBreakHyphen/>
        <w:t>generated)</w:t>
      </w:r>
    </w:p>
    <w:p w14:paraId="207099EE" w14:textId="77777777" w:rsidR="0052249E" w:rsidRPr="0052249E" w:rsidRDefault="0052249E" w:rsidP="0052249E">
      <w:pPr>
        <w:numPr>
          <w:ilvl w:val="0"/>
          <w:numId w:val="6"/>
        </w:numPr>
        <w:spacing w:after="0" w:line="240" w:lineRule="auto"/>
        <w:jc w:val="both"/>
      </w:pPr>
      <w:r w:rsidRPr="0052249E">
        <w:rPr>
          <w:b/>
          <w:bCs/>
        </w:rPr>
        <w:t>Summary</w:t>
      </w:r>
      <w:r w:rsidRPr="0052249E">
        <w:t>: “Provider NPI 123… flagged for high outlier rate on 99213</w:t>
      </w:r>
      <w:r w:rsidRPr="0052249E">
        <w:noBreakHyphen/>
        <w:t>25 + 20610 combos; 3.2× peer rate; $Y expected.”</w:t>
      </w:r>
    </w:p>
    <w:p w14:paraId="1ACE139C" w14:textId="77777777" w:rsidR="0052249E" w:rsidRPr="0052249E" w:rsidRDefault="0052249E" w:rsidP="0052249E">
      <w:pPr>
        <w:numPr>
          <w:ilvl w:val="0"/>
          <w:numId w:val="6"/>
        </w:numPr>
        <w:spacing w:after="0" w:line="240" w:lineRule="auto"/>
        <w:jc w:val="both"/>
      </w:pPr>
      <w:r w:rsidRPr="0052249E">
        <w:rPr>
          <w:b/>
          <w:bCs/>
        </w:rPr>
        <w:t>Model explanation</w:t>
      </w:r>
      <w:r w:rsidRPr="0052249E">
        <w:t>: SHAP top features (units, modifiers, POS, prior denials).</w:t>
      </w:r>
    </w:p>
    <w:p w14:paraId="6ED2FA79" w14:textId="77777777" w:rsidR="0052249E" w:rsidRPr="0052249E" w:rsidRDefault="0052249E" w:rsidP="0052249E">
      <w:pPr>
        <w:numPr>
          <w:ilvl w:val="0"/>
          <w:numId w:val="6"/>
        </w:numPr>
        <w:spacing w:after="0" w:line="240" w:lineRule="auto"/>
        <w:jc w:val="both"/>
      </w:pPr>
      <w:r w:rsidRPr="0052249E">
        <w:rPr>
          <w:b/>
          <w:bCs/>
        </w:rPr>
        <w:t>Policy evidence</w:t>
      </w:r>
      <w:r w:rsidRPr="0052249E">
        <w:t>:</w:t>
      </w:r>
    </w:p>
    <w:p w14:paraId="2EDFD3A4" w14:textId="77777777" w:rsidR="0052249E" w:rsidRPr="0052249E" w:rsidRDefault="0052249E" w:rsidP="0052249E">
      <w:pPr>
        <w:numPr>
          <w:ilvl w:val="1"/>
          <w:numId w:val="6"/>
        </w:numPr>
        <w:spacing w:after="0" w:line="240" w:lineRule="auto"/>
        <w:jc w:val="both"/>
      </w:pPr>
      <w:r w:rsidRPr="0052249E">
        <w:t xml:space="preserve">NCCI guidance on unbundling, </w:t>
      </w:r>
      <w:r w:rsidRPr="0052249E">
        <w:rPr>
          <w:b/>
          <w:bCs/>
        </w:rPr>
        <w:t>modifier 25</w:t>
      </w:r>
      <w:r w:rsidRPr="0052249E">
        <w:t xml:space="preserve"> and related examples (PTP context). </w:t>
      </w:r>
      <w:hyperlink r:id="rId44" w:history="1">
        <w:r w:rsidRPr="0052249E">
          <w:rPr>
            <w:rStyle w:val="Hyperlink"/>
          </w:rPr>
          <w:t>[5]</w:t>
        </w:r>
      </w:hyperlink>
      <w:hyperlink r:id="rId45" w:history="1">
        <w:r w:rsidRPr="0052249E">
          <w:rPr>
            <w:rStyle w:val="Hyperlink"/>
          </w:rPr>
          <w:t>[15]</w:t>
        </w:r>
      </w:hyperlink>
    </w:p>
    <w:p w14:paraId="5BC712C4" w14:textId="77777777" w:rsidR="0052249E" w:rsidRPr="0052249E" w:rsidRDefault="0052249E" w:rsidP="0052249E">
      <w:pPr>
        <w:numPr>
          <w:ilvl w:val="1"/>
          <w:numId w:val="6"/>
        </w:numPr>
        <w:spacing w:after="0" w:line="240" w:lineRule="auto"/>
        <w:jc w:val="both"/>
      </w:pPr>
      <w:r w:rsidRPr="0052249E">
        <w:rPr>
          <w:b/>
          <w:bCs/>
        </w:rPr>
        <w:t>MUE</w:t>
      </w:r>
      <w:r w:rsidRPr="0052249E">
        <w:t xml:space="preserve"> exceedance details with quarter/version. </w:t>
      </w:r>
      <w:hyperlink r:id="rId46" w:history="1">
        <w:r w:rsidRPr="0052249E">
          <w:rPr>
            <w:rStyle w:val="Hyperlink"/>
          </w:rPr>
          <w:t>[4]</w:t>
        </w:r>
      </w:hyperlink>
    </w:p>
    <w:p w14:paraId="7F27E162" w14:textId="77777777" w:rsidR="0052249E" w:rsidRPr="0052249E" w:rsidRDefault="0052249E" w:rsidP="0052249E">
      <w:pPr>
        <w:numPr>
          <w:ilvl w:val="1"/>
          <w:numId w:val="6"/>
        </w:numPr>
        <w:spacing w:after="0" w:line="240" w:lineRule="auto"/>
        <w:jc w:val="both"/>
      </w:pPr>
      <w:r w:rsidRPr="0052249E">
        <w:t xml:space="preserve">Any LCD citations relevant to the MAC region. </w:t>
      </w:r>
      <w:hyperlink r:id="rId47" w:history="1">
        <w:r w:rsidRPr="0052249E">
          <w:rPr>
            <w:rStyle w:val="Hyperlink"/>
          </w:rPr>
          <w:t>[6]</w:t>
        </w:r>
      </w:hyperlink>
    </w:p>
    <w:p w14:paraId="37FE7A4B" w14:textId="77777777" w:rsidR="0052249E" w:rsidRPr="0052249E" w:rsidRDefault="0052249E" w:rsidP="0052249E">
      <w:pPr>
        <w:numPr>
          <w:ilvl w:val="0"/>
          <w:numId w:val="6"/>
        </w:numPr>
        <w:spacing w:after="0" w:line="240" w:lineRule="auto"/>
        <w:jc w:val="both"/>
      </w:pPr>
      <w:r w:rsidRPr="0052249E">
        <w:rPr>
          <w:b/>
          <w:bCs/>
        </w:rPr>
        <w:t>Identity &amp; exclusions</w:t>
      </w:r>
      <w:r w:rsidRPr="0052249E">
        <w:t xml:space="preserve">: NPPES taxonomy snapshot; LEIE check results. </w:t>
      </w:r>
      <w:hyperlink r:id="rId48" w:history="1">
        <w:r w:rsidRPr="0052249E">
          <w:rPr>
            <w:rStyle w:val="Hyperlink"/>
          </w:rPr>
          <w:t>[7]</w:t>
        </w:r>
      </w:hyperlink>
      <w:hyperlink r:id="rId49" w:history="1">
        <w:r w:rsidRPr="0052249E">
          <w:rPr>
            <w:rStyle w:val="Hyperlink"/>
          </w:rPr>
          <w:t>[8]</w:t>
        </w:r>
      </w:hyperlink>
    </w:p>
    <w:p w14:paraId="38A6554E" w14:textId="77777777" w:rsidR="0052249E" w:rsidRPr="0052249E" w:rsidRDefault="0052249E" w:rsidP="0052249E">
      <w:pPr>
        <w:numPr>
          <w:ilvl w:val="0"/>
          <w:numId w:val="6"/>
        </w:numPr>
        <w:spacing w:after="0" w:line="240" w:lineRule="auto"/>
        <w:jc w:val="both"/>
      </w:pPr>
      <w:r w:rsidRPr="0052249E">
        <w:rPr>
          <w:b/>
          <w:bCs/>
        </w:rPr>
        <w:t>Telehealth</w:t>
      </w:r>
      <w:r w:rsidRPr="0052249E">
        <w:t xml:space="preserve"> (if applicable): how code aligns with CMS telehealth list (CY2025), including audio</w:t>
      </w:r>
      <w:r w:rsidRPr="0052249E">
        <w:noBreakHyphen/>
        <w:t xml:space="preserve">only if used. </w:t>
      </w:r>
      <w:hyperlink r:id="rId50" w:history="1">
        <w:r w:rsidRPr="0052249E">
          <w:rPr>
            <w:rStyle w:val="Hyperlink"/>
          </w:rPr>
          <w:t>[12]</w:t>
        </w:r>
      </w:hyperlink>
      <w:hyperlink r:id="rId51" w:history="1">
        <w:r w:rsidRPr="0052249E">
          <w:rPr>
            <w:rStyle w:val="Hyperlink"/>
          </w:rPr>
          <w:t>[13]</w:t>
        </w:r>
      </w:hyperlink>
    </w:p>
    <w:p w14:paraId="602364CE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3CECC13F">
          <v:rect id="_x0000_i1031" style="width:0;height:1.5pt" o:hralign="center" o:hrstd="t" o:hr="t" fillcolor="#a0a0a0" stroked="f"/>
        </w:pict>
      </w:r>
    </w:p>
    <w:p w14:paraId="48DF1A03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📏</w:t>
      </w:r>
      <w:r w:rsidRPr="0052249E">
        <w:rPr>
          <w:b/>
          <w:bCs/>
        </w:rPr>
        <w:t xml:space="preserve"> Measurement &amp; guardrails</w:t>
      </w:r>
    </w:p>
    <w:p w14:paraId="31F5C380" w14:textId="77777777" w:rsidR="0052249E" w:rsidRPr="0052249E" w:rsidRDefault="0052249E" w:rsidP="0052249E">
      <w:pPr>
        <w:numPr>
          <w:ilvl w:val="0"/>
          <w:numId w:val="7"/>
        </w:numPr>
        <w:spacing w:after="0" w:line="240" w:lineRule="auto"/>
        <w:jc w:val="both"/>
      </w:pPr>
      <w:r w:rsidRPr="0052249E">
        <w:rPr>
          <w:b/>
          <w:bCs/>
        </w:rPr>
        <w:t>Primary KPIs</w:t>
      </w:r>
      <w:r w:rsidRPr="0052249E">
        <w:t>:</w:t>
      </w:r>
    </w:p>
    <w:p w14:paraId="3C59DA3F" w14:textId="77777777" w:rsidR="0052249E" w:rsidRPr="0052249E" w:rsidRDefault="0052249E" w:rsidP="0052249E">
      <w:pPr>
        <w:numPr>
          <w:ilvl w:val="1"/>
          <w:numId w:val="7"/>
        </w:numPr>
        <w:spacing w:after="0" w:line="240" w:lineRule="auto"/>
        <w:jc w:val="both"/>
      </w:pPr>
      <w:r w:rsidRPr="0052249E">
        <w:rPr>
          <w:b/>
          <w:bCs/>
        </w:rPr>
        <w:t>Precision\@K</w:t>
      </w:r>
      <w:r w:rsidRPr="0052249E">
        <w:t xml:space="preserve"> (by SIU capacity), </w:t>
      </w:r>
      <w:r w:rsidRPr="0052249E">
        <w:rPr>
          <w:b/>
          <w:bCs/>
        </w:rPr>
        <w:t>Net recovery per review hour</w:t>
      </w:r>
      <w:r w:rsidRPr="0052249E">
        <w:t xml:space="preserve">, </w:t>
      </w:r>
      <w:r w:rsidRPr="0052249E">
        <w:rPr>
          <w:b/>
          <w:bCs/>
        </w:rPr>
        <w:t>False</w:t>
      </w:r>
      <w:r w:rsidRPr="0052249E">
        <w:rPr>
          <w:b/>
          <w:bCs/>
        </w:rPr>
        <w:noBreakHyphen/>
        <w:t>positive rate</w:t>
      </w:r>
      <w:r w:rsidRPr="0052249E">
        <w:t xml:space="preserve"> on QA samples.</w:t>
      </w:r>
    </w:p>
    <w:p w14:paraId="5E166712" w14:textId="77777777" w:rsidR="0052249E" w:rsidRPr="0052249E" w:rsidRDefault="0052249E" w:rsidP="0052249E">
      <w:pPr>
        <w:numPr>
          <w:ilvl w:val="1"/>
          <w:numId w:val="7"/>
        </w:numPr>
        <w:spacing w:after="0" w:line="240" w:lineRule="auto"/>
        <w:jc w:val="both"/>
      </w:pPr>
      <w:r w:rsidRPr="0052249E">
        <w:rPr>
          <w:b/>
          <w:bCs/>
        </w:rPr>
        <w:t>Time</w:t>
      </w:r>
      <w:r w:rsidRPr="0052249E">
        <w:rPr>
          <w:b/>
          <w:bCs/>
        </w:rPr>
        <w:noBreakHyphen/>
        <w:t>to</w:t>
      </w:r>
      <w:r w:rsidRPr="0052249E">
        <w:rPr>
          <w:b/>
          <w:bCs/>
        </w:rPr>
        <w:noBreakHyphen/>
        <w:t>detection</w:t>
      </w:r>
      <w:r w:rsidRPr="0052249E">
        <w:t xml:space="preserve"> vs historical.</w:t>
      </w:r>
    </w:p>
    <w:p w14:paraId="1C7D029F" w14:textId="77777777" w:rsidR="0052249E" w:rsidRPr="0052249E" w:rsidRDefault="0052249E" w:rsidP="0052249E">
      <w:pPr>
        <w:numPr>
          <w:ilvl w:val="1"/>
          <w:numId w:val="7"/>
        </w:numPr>
        <w:spacing w:after="0" w:line="240" w:lineRule="auto"/>
        <w:jc w:val="both"/>
      </w:pPr>
      <w:r w:rsidRPr="0052249E">
        <w:t xml:space="preserve">Benchmark against </w:t>
      </w:r>
      <w:r w:rsidRPr="0052249E">
        <w:rPr>
          <w:b/>
          <w:bCs/>
        </w:rPr>
        <w:t>FFS improper payment</w:t>
      </w:r>
      <w:r w:rsidRPr="0052249E">
        <w:t xml:space="preserve"> rates for directional validation. </w:t>
      </w:r>
      <w:hyperlink r:id="rId52" w:history="1">
        <w:r w:rsidRPr="0052249E">
          <w:rPr>
            <w:rStyle w:val="Hyperlink"/>
          </w:rPr>
          <w:t>[10]</w:t>
        </w:r>
      </w:hyperlink>
    </w:p>
    <w:p w14:paraId="02DA4284" w14:textId="77777777" w:rsidR="0052249E" w:rsidRPr="0052249E" w:rsidRDefault="0052249E" w:rsidP="0052249E">
      <w:pPr>
        <w:numPr>
          <w:ilvl w:val="0"/>
          <w:numId w:val="7"/>
        </w:numPr>
        <w:spacing w:after="0" w:line="240" w:lineRule="auto"/>
        <w:jc w:val="both"/>
      </w:pPr>
      <w:r w:rsidRPr="0052249E">
        <w:rPr>
          <w:b/>
          <w:bCs/>
        </w:rPr>
        <w:lastRenderedPageBreak/>
        <w:t>Calibration</w:t>
      </w:r>
      <w:r w:rsidRPr="0052249E">
        <w:t xml:space="preserve">: Calibrated probabilities (Platt/Isotonic); decision threshold set to </w:t>
      </w:r>
      <w:r w:rsidRPr="0052249E">
        <w:rPr>
          <w:b/>
          <w:bCs/>
        </w:rPr>
        <w:t>investigator bandwidth</w:t>
      </w:r>
      <w:r w:rsidRPr="0052249E">
        <w:t>.</w:t>
      </w:r>
    </w:p>
    <w:p w14:paraId="0A3670A3" w14:textId="77777777" w:rsidR="0052249E" w:rsidRPr="0052249E" w:rsidRDefault="0052249E" w:rsidP="0052249E">
      <w:pPr>
        <w:numPr>
          <w:ilvl w:val="0"/>
          <w:numId w:val="7"/>
        </w:numPr>
        <w:spacing w:after="0" w:line="240" w:lineRule="auto"/>
        <w:jc w:val="both"/>
      </w:pPr>
      <w:r w:rsidRPr="0052249E">
        <w:rPr>
          <w:b/>
          <w:bCs/>
        </w:rPr>
        <w:t>Fairness &amp; drift</w:t>
      </w:r>
      <w:r w:rsidRPr="0052249E">
        <w:t>:</w:t>
      </w:r>
    </w:p>
    <w:p w14:paraId="658BD6E9" w14:textId="77777777" w:rsidR="0052249E" w:rsidRPr="0052249E" w:rsidRDefault="0052249E" w:rsidP="0052249E">
      <w:pPr>
        <w:numPr>
          <w:ilvl w:val="1"/>
          <w:numId w:val="7"/>
        </w:numPr>
        <w:spacing w:after="0" w:line="240" w:lineRule="auto"/>
        <w:jc w:val="both"/>
      </w:pPr>
      <w:r w:rsidRPr="0052249E">
        <w:t xml:space="preserve">Monitor specialty/geography bias; policy change drift (e.g., telehealth list, NCCI quarterly files). </w:t>
      </w:r>
      <w:hyperlink r:id="rId53" w:history="1">
        <w:r w:rsidRPr="0052249E">
          <w:rPr>
            <w:rStyle w:val="Hyperlink"/>
          </w:rPr>
          <w:t>[12]</w:t>
        </w:r>
      </w:hyperlink>
      <w:hyperlink r:id="rId54" w:history="1">
        <w:r w:rsidRPr="0052249E">
          <w:rPr>
            <w:rStyle w:val="Hyperlink"/>
          </w:rPr>
          <w:t>[4]</w:t>
        </w:r>
      </w:hyperlink>
    </w:p>
    <w:p w14:paraId="40C0943C" w14:textId="77777777" w:rsidR="0052249E" w:rsidRPr="0052249E" w:rsidRDefault="0052249E" w:rsidP="0052249E">
      <w:pPr>
        <w:numPr>
          <w:ilvl w:val="0"/>
          <w:numId w:val="7"/>
        </w:numPr>
        <w:spacing w:after="0" w:line="240" w:lineRule="auto"/>
        <w:jc w:val="both"/>
      </w:pPr>
      <w:r w:rsidRPr="0052249E">
        <w:rPr>
          <w:b/>
          <w:bCs/>
        </w:rPr>
        <w:t>Compliance</w:t>
      </w:r>
      <w:r w:rsidRPr="0052249E">
        <w:t xml:space="preserve">: HIPAA/PHI handling; BAA; full </w:t>
      </w:r>
      <w:r w:rsidRPr="0052249E">
        <w:rPr>
          <w:b/>
          <w:bCs/>
        </w:rPr>
        <w:t>MCP call logs</w:t>
      </w:r>
      <w:r w:rsidRPr="0052249E">
        <w:t xml:space="preserve"> &amp; evidence snapshots for audit.</w:t>
      </w:r>
    </w:p>
    <w:p w14:paraId="3703860F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61BE70DE">
          <v:rect id="_x0000_i1032" style="width:0;height:1.5pt" o:hralign="center" o:hrstd="t" o:hr="t" fillcolor="#a0a0a0" stroked="f"/>
        </w:pict>
      </w:r>
    </w:p>
    <w:p w14:paraId="1D3AB323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🧪</w:t>
      </w:r>
      <w:r w:rsidRPr="0052249E">
        <w:rPr>
          <w:b/>
          <w:bCs/>
        </w:rPr>
        <w:t xml:space="preserve"> Example MCP “reasoning plan” prompt (agent side)</w:t>
      </w:r>
    </w:p>
    <w:p w14:paraId="6FF6F657" w14:textId="77777777" w:rsidR="0052249E" w:rsidRPr="0052249E" w:rsidRDefault="0052249E" w:rsidP="0052249E">
      <w:pPr>
        <w:spacing w:after="0" w:line="240" w:lineRule="auto"/>
        <w:jc w:val="both"/>
      </w:pPr>
      <w:r w:rsidRPr="0052249E">
        <w:t>You are a payment-integrity analyst agent. For the input claim</w:t>
      </w:r>
      <w:r w:rsidRPr="0052249E">
        <w:rPr>
          <w:i/>
          <w:iCs/>
        </w:rPr>
        <w:t>ids:</w:t>
      </w:r>
    </w:p>
    <w:p w14:paraId="7055636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1) Call models.score</w:t>
      </w:r>
      <w:r w:rsidRPr="0052249E">
        <w:t>supervised and models.score</w:t>
      </w:r>
      <w:r w:rsidRPr="0052249E">
        <w:rPr>
          <w:i/>
          <w:iCs/>
        </w:rPr>
        <w:t>outlier (provider scope).</w:t>
      </w:r>
    </w:p>
    <w:p w14:paraId="16D2A981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2) Run cms-ncci.ptp</w:t>
      </w:r>
      <w:r w:rsidRPr="0052249E">
        <w:t>check and cms-ncci.mue</w:t>
      </w:r>
      <w:r w:rsidRPr="0052249E">
        <w:rPr>
          <w:i/>
          <w:iCs/>
        </w:rPr>
        <w:t>check on each claim-line.</w:t>
      </w:r>
    </w:p>
    <w:p w14:paraId="2ABD79EE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3) If POS=home or telehealth modifiers present, consult coverage-policy and telehealth list.</w:t>
      </w:r>
    </w:p>
    <w:p w14:paraId="41FB5E8D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4) Resolve provider via provider-identity.npi</w:t>
      </w:r>
      <w:r w:rsidRPr="0052249E">
        <w:t>lookup; screen via provider-identity.leie</w:t>
      </w:r>
      <w:r w:rsidRPr="0052249E">
        <w:rPr>
          <w:i/>
          <w:iCs/>
        </w:rPr>
        <w:t>check.</w:t>
      </w:r>
    </w:p>
    <w:p w14:paraId="63671ED0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5) Build a rationale with:</w:t>
      </w:r>
    </w:p>
    <w:p w14:paraId="0615F85E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 - Model scores + top SHAP features</w:t>
      </w:r>
    </w:p>
    <w:p w14:paraId="13E5E9B8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 - Policy snippets (NCCI/LCD URLs with chapter references)</w:t>
      </w:r>
    </w:p>
    <w:p w14:paraId="7643FAD4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   - Any telehealth eligibility notes (CY2025 list)</w:t>
      </w:r>
    </w:p>
    <w:p w14:paraId="28FA7FB1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i/>
          <w:iCs/>
        </w:rPr>
        <w:t>6) Open a case via case-management.open</w:t>
      </w:r>
      <w:r w:rsidRPr="0052249E">
        <w:t>case including CSV of flagged lines, SHAP plot, and policy citations.</w:t>
      </w:r>
    </w:p>
    <w:p w14:paraId="2D0179B3" w14:textId="77777777" w:rsidR="0052249E" w:rsidRPr="0052249E" w:rsidRDefault="0052249E" w:rsidP="0052249E">
      <w:pPr>
        <w:spacing w:after="0" w:line="240" w:lineRule="auto"/>
        <w:jc w:val="both"/>
      </w:pPr>
      <w:r w:rsidRPr="0052249E">
        <w:t>Return a concise triage table and a narrative summary.</w:t>
      </w:r>
    </w:p>
    <w:p w14:paraId="2CA69E0C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61FCCC76">
          <v:rect id="_x0000_i1033" style="width:0;height:1.5pt" o:hralign="center" o:hrstd="t" o:hr="t" fillcolor="#a0a0a0" stroked="f"/>
        </w:pict>
      </w:r>
    </w:p>
    <w:p w14:paraId="0F09F9EB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🛠️</w:t>
      </w:r>
      <w:r w:rsidRPr="0052249E">
        <w:rPr>
          <w:b/>
          <w:bCs/>
        </w:rPr>
        <w:t xml:space="preserve"> Data &amp; model scaffolding (illustrative)</w:t>
      </w:r>
    </w:p>
    <w:p w14:paraId="0CC571C2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b/>
          <w:bCs/>
        </w:rPr>
        <w:t>Entity resolution</w:t>
      </w:r>
      <w:r w:rsidRPr="0052249E">
        <w:t xml:space="preserve"> (dedupe NPIs/TINs), </w:t>
      </w:r>
      <w:r w:rsidRPr="0052249E">
        <w:rPr>
          <w:b/>
          <w:bCs/>
        </w:rPr>
        <w:t>temporalization</w:t>
      </w:r>
      <w:r w:rsidRPr="0052249E">
        <w:t xml:space="preserve"> (DOS buckets), </w:t>
      </w:r>
      <w:r w:rsidRPr="0052249E">
        <w:rPr>
          <w:b/>
          <w:bCs/>
        </w:rPr>
        <w:t>label hygiene</w:t>
      </w:r>
      <w:r w:rsidRPr="0052249E">
        <w:t xml:space="preserve"> (confirmed SIU outcomes, post</w:t>
      </w:r>
      <w:r w:rsidRPr="0052249E">
        <w:noBreakHyphen/>
        <w:t>payment recoveries, appeal outcomes). Build per</w:t>
      </w:r>
      <w:r w:rsidRPr="0052249E">
        <w:noBreakHyphen/>
        <w:t xml:space="preserve">provider </w:t>
      </w:r>
      <w:r w:rsidRPr="0052249E">
        <w:rPr>
          <w:b/>
          <w:bCs/>
        </w:rPr>
        <w:t>rolling windows</w:t>
      </w:r>
      <w:r w:rsidRPr="0052249E">
        <w:t xml:space="preserve"> (7/30/90 days) for volume &amp; units; join </w:t>
      </w:r>
      <w:r w:rsidRPr="0052249E">
        <w:rPr>
          <w:b/>
          <w:bCs/>
        </w:rPr>
        <w:t>NPPES</w:t>
      </w:r>
      <w:r w:rsidRPr="0052249E">
        <w:t xml:space="preserve"> for taxonomy; ingest </w:t>
      </w:r>
      <w:r w:rsidRPr="0052249E">
        <w:rPr>
          <w:b/>
          <w:bCs/>
        </w:rPr>
        <w:t>NCCI</w:t>
      </w:r>
      <w:r w:rsidRPr="0052249E">
        <w:t xml:space="preserve"> (PTP/MUE) quarterly; index LCD/NCD text with IDs for retrieval. </w:t>
      </w:r>
      <w:hyperlink r:id="rId55" w:history="1">
        <w:r w:rsidRPr="0052249E">
          <w:rPr>
            <w:rStyle w:val="Hyperlink"/>
          </w:rPr>
          <w:t>[7]</w:t>
        </w:r>
      </w:hyperlink>
      <w:hyperlink r:id="rId56" w:history="1">
        <w:r w:rsidRPr="0052249E">
          <w:rPr>
            <w:rStyle w:val="Hyperlink"/>
          </w:rPr>
          <w:t>[4]</w:t>
        </w:r>
      </w:hyperlink>
      <w:hyperlink r:id="rId57" w:history="1">
        <w:r w:rsidRPr="0052249E">
          <w:rPr>
            <w:rStyle w:val="Hyperlink"/>
          </w:rPr>
          <w:t>[6]</w:t>
        </w:r>
      </w:hyperlink>
    </w:p>
    <w:p w14:paraId="0DA9DA99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3A3CC693">
          <v:rect id="_x0000_i1034" style="width:0;height:1.5pt" o:hralign="center" o:hrstd="t" o:hr="t" fillcolor="#a0a0a0" stroked="f"/>
        </w:pict>
      </w:r>
    </w:p>
    <w:p w14:paraId="4833DF1F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🚀</w:t>
      </w:r>
      <w:r w:rsidRPr="0052249E">
        <w:rPr>
          <w:b/>
          <w:bCs/>
        </w:rPr>
        <w:t xml:space="preserve"> 6–8 week pilot plan (pragmatic)</w:t>
      </w:r>
    </w:p>
    <w:p w14:paraId="0903834E" w14:textId="77777777" w:rsidR="0052249E" w:rsidRPr="0052249E" w:rsidRDefault="0052249E" w:rsidP="0052249E">
      <w:pPr>
        <w:numPr>
          <w:ilvl w:val="0"/>
          <w:numId w:val="8"/>
        </w:numPr>
        <w:spacing w:after="0" w:line="240" w:lineRule="auto"/>
        <w:jc w:val="both"/>
      </w:pPr>
      <w:r w:rsidRPr="0052249E">
        <w:rPr>
          <w:b/>
          <w:bCs/>
        </w:rPr>
        <w:t>Week 1–2</w:t>
      </w:r>
      <w:r w:rsidRPr="0052249E">
        <w:t xml:space="preserve"> – Data access &amp; policy connectors</w:t>
      </w:r>
    </w:p>
    <w:p w14:paraId="66D0EF0C" w14:textId="77777777" w:rsidR="0052249E" w:rsidRPr="0052249E" w:rsidRDefault="0052249E" w:rsidP="0052249E">
      <w:pPr>
        <w:numPr>
          <w:ilvl w:val="1"/>
          <w:numId w:val="8"/>
        </w:numPr>
        <w:spacing w:after="0" w:line="240" w:lineRule="auto"/>
        <w:jc w:val="both"/>
      </w:pPr>
      <w:r w:rsidRPr="0052249E">
        <w:t xml:space="preserve">Land </w:t>
      </w:r>
      <w:r w:rsidRPr="0052249E">
        <w:rPr>
          <w:b/>
          <w:bCs/>
        </w:rPr>
        <w:t>claims</w:t>
      </w:r>
      <w:r w:rsidRPr="0052249E">
        <w:t xml:space="preserve">, </w:t>
      </w:r>
      <w:r w:rsidRPr="0052249E">
        <w:rPr>
          <w:b/>
          <w:bCs/>
        </w:rPr>
        <w:t>SIU labels</w:t>
      </w:r>
      <w:r w:rsidRPr="0052249E">
        <w:t xml:space="preserve">, </w:t>
      </w:r>
      <w:r w:rsidRPr="0052249E">
        <w:rPr>
          <w:b/>
          <w:bCs/>
        </w:rPr>
        <w:t>NPPES</w:t>
      </w:r>
      <w:r w:rsidRPr="0052249E">
        <w:t xml:space="preserve">, </w:t>
      </w:r>
      <w:r w:rsidRPr="0052249E">
        <w:rPr>
          <w:b/>
          <w:bCs/>
        </w:rPr>
        <w:t>LEIE</w:t>
      </w:r>
      <w:r w:rsidRPr="0052249E">
        <w:t xml:space="preserve">, </w:t>
      </w:r>
      <w:r w:rsidRPr="0052249E">
        <w:rPr>
          <w:b/>
          <w:bCs/>
        </w:rPr>
        <w:t>NCCI</w:t>
      </w:r>
      <w:r w:rsidRPr="0052249E">
        <w:t xml:space="preserve"> public files; spin up MCP servers for </w:t>
      </w:r>
      <w:r w:rsidRPr="0052249E">
        <w:rPr>
          <w:b/>
          <w:bCs/>
        </w:rPr>
        <w:t>rules</w:t>
      </w:r>
      <w:r w:rsidRPr="0052249E">
        <w:t xml:space="preserve">, </w:t>
      </w:r>
      <w:r w:rsidRPr="0052249E">
        <w:rPr>
          <w:b/>
          <w:bCs/>
        </w:rPr>
        <w:t>coverage</w:t>
      </w:r>
      <w:r w:rsidRPr="0052249E">
        <w:t xml:space="preserve">, </w:t>
      </w:r>
      <w:r w:rsidRPr="0052249E">
        <w:rPr>
          <w:b/>
          <w:bCs/>
        </w:rPr>
        <w:t>identity</w:t>
      </w:r>
      <w:r w:rsidRPr="0052249E">
        <w:t xml:space="preserve">. </w:t>
      </w:r>
      <w:hyperlink r:id="rId58" w:history="1">
        <w:r w:rsidRPr="0052249E">
          <w:rPr>
            <w:rStyle w:val="Hyperlink"/>
          </w:rPr>
          <w:t>[7]</w:t>
        </w:r>
      </w:hyperlink>
      <w:hyperlink r:id="rId59" w:history="1">
        <w:r w:rsidRPr="0052249E">
          <w:rPr>
            <w:rStyle w:val="Hyperlink"/>
          </w:rPr>
          <w:t>[8]</w:t>
        </w:r>
      </w:hyperlink>
      <w:hyperlink r:id="rId60" w:history="1">
        <w:r w:rsidRPr="0052249E">
          <w:rPr>
            <w:rStyle w:val="Hyperlink"/>
          </w:rPr>
          <w:t>[4]</w:t>
        </w:r>
      </w:hyperlink>
    </w:p>
    <w:p w14:paraId="786F8389" w14:textId="77777777" w:rsidR="0052249E" w:rsidRPr="0052249E" w:rsidRDefault="0052249E" w:rsidP="0052249E">
      <w:pPr>
        <w:numPr>
          <w:ilvl w:val="0"/>
          <w:numId w:val="8"/>
        </w:numPr>
        <w:spacing w:after="0" w:line="240" w:lineRule="auto"/>
        <w:jc w:val="both"/>
      </w:pPr>
      <w:r w:rsidRPr="0052249E">
        <w:rPr>
          <w:b/>
          <w:bCs/>
        </w:rPr>
        <w:t>Week 2–4</w:t>
      </w:r>
      <w:r w:rsidRPr="0052249E">
        <w:t xml:space="preserve"> – Baseline models &amp; rules</w:t>
      </w:r>
    </w:p>
    <w:p w14:paraId="6916195A" w14:textId="77777777" w:rsidR="0052249E" w:rsidRPr="0052249E" w:rsidRDefault="0052249E" w:rsidP="0052249E">
      <w:pPr>
        <w:numPr>
          <w:ilvl w:val="1"/>
          <w:numId w:val="8"/>
        </w:numPr>
        <w:spacing w:after="0" w:line="240" w:lineRule="auto"/>
        <w:jc w:val="both"/>
      </w:pPr>
      <w:r w:rsidRPr="0052249E">
        <w:t xml:space="preserve">Train LightGBM; add IsolationForest; wire </w:t>
      </w:r>
      <w:r w:rsidRPr="0052249E">
        <w:rPr>
          <w:b/>
          <w:bCs/>
        </w:rPr>
        <w:t>PTP/MUE</w:t>
      </w:r>
      <w:r w:rsidRPr="0052249E">
        <w:t xml:space="preserve"> tools; validate on last 12 months. </w:t>
      </w:r>
      <w:hyperlink r:id="rId61" w:history="1">
        <w:r w:rsidRPr="0052249E">
          <w:rPr>
            <w:rStyle w:val="Hyperlink"/>
          </w:rPr>
          <w:t>[3]</w:t>
        </w:r>
      </w:hyperlink>
    </w:p>
    <w:p w14:paraId="0FD771D5" w14:textId="77777777" w:rsidR="0052249E" w:rsidRPr="0052249E" w:rsidRDefault="0052249E" w:rsidP="0052249E">
      <w:pPr>
        <w:numPr>
          <w:ilvl w:val="0"/>
          <w:numId w:val="8"/>
        </w:numPr>
        <w:spacing w:after="0" w:line="240" w:lineRule="auto"/>
        <w:jc w:val="both"/>
      </w:pPr>
      <w:r w:rsidRPr="0052249E">
        <w:rPr>
          <w:b/>
          <w:bCs/>
        </w:rPr>
        <w:t>Week 4–5</w:t>
      </w:r>
      <w:r w:rsidRPr="0052249E">
        <w:t xml:space="preserve"> – Agent assembly</w:t>
      </w:r>
    </w:p>
    <w:p w14:paraId="5736AD94" w14:textId="77777777" w:rsidR="0052249E" w:rsidRPr="0052249E" w:rsidRDefault="0052249E" w:rsidP="0052249E">
      <w:pPr>
        <w:numPr>
          <w:ilvl w:val="1"/>
          <w:numId w:val="8"/>
        </w:numPr>
        <w:spacing w:after="0" w:line="240" w:lineRule="auto"/>
        <w:jc w:val="both"/>
      </w:pPr>
      <w:r w:rsidRPr="0052249E">
        <w:t xml:space="preserve">MCP orchestration, prompt templates, case packet generation with citations. </w:t>
      </w:r>
      <w:hyperlink r:id="rId62" w:history="1">
        <w:r w:rsidRPr="0052249E">
          <w:rPr>
            <w:rStyle w:val="Hyperlink"/>
          </w:rPr>
          <w:t>[1]</w:t>
        </w:r>
      </w:hyperlink>
    </w:p>
    <w:p w14:paraId="67ADDF41" w14:textId="77777777" w:rsidR="0052249E" w:rsidRPr="0052249E" w:rsidRDefault="0052249E" w:rsidP="0052249E">
      <w:pPr>
        <w:numPr>
          <w:ilvl w:val="0"/>
          <w:numId w:val="8"/>
        </w:numPr>
        <w:spacing w:after="0" w:line="240" w:lineRule="auto"/>
        <w:jc w:val="both"/>
      </w:pPr>
      <w:r w:rsidRPr="0052249E">
        <w:rPr>
          <w:b/>
          <w:bCs/>
        </w:rPr>
        <w:t>Week 6–8</w:t>
      </w:r>
      <w:r w:rsidRPr="0052249E">
        <w:t xml:space="preserve"> – Shadow mode &amp; evaluation</w:t>
      </w:r>
    </w:p>
    <w:p w14:paraId="145AAE50" w14:textId="77777777" w:rsidR="0052249E" w:rsidRPr="0052249E" w:rsidRDefault="0052249E" w:rsidP="0052249E">
      <w:pPr>
        <w:numPr>
          <w:ilvl w:val="1"/>
          <w:numId w:val="8"/>
        </w:numPr>
        <w:spacing w:after="0" w:line="240" w:lineRule="auto"/>
        <w:jc w:val="both"/>
      </w:pPr>
      <w:r w:rsidRPr="0052249E">
        <w:t xml:space="preserve">Compare </w:t>
      </w:r>
      <w:r w:rsidRPr="0052249E">
        <w:rPr>
          <w:b/>
          <w:bCs/>
        </w:rPr>
        <w:t>Precision\@K</w:t>
      </w:r>
      <w:r w:rsidRPr="0052249E">
        <w:t xml:space="preserve">, </w:t>
      </w:r>
      <w:r w:rsidRPr="0052249E">
        <w:rPr>
          <w:b/>
          <w:bCs/>
        </w:rPr>
        <w:t>yield</w:t>
      </w:r>
      <w:r w:rsidRPr="0052249E">
        <w:t>, investigator time saved; finalize go/no</w:t>
      </w:r>
      <w:r w:rsidRPr="0052249E">
        <w:noBreakHyphen/>
        <w:t>go.</w:t>
      </w:r>
    </w:p>
    <w:p w14:paraId="75DDE38A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489ACAF8">
          <v:rect id="_x0000_i1035" style="width:0;height:1.5pt" o:hralign="center" o:hrstd="t" o:hr="t" fillcolor="#a0a0a0" stroked="f"/>
        </w:pict>
      </w:r>
    </w:p>
    <w:p w14:paraId="5C6F12FA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rFonts w:ascii="Segoe UI Emoji" w:hAnsi="Segoe UI Emoji" w:cs="Segoe UI Emoji"/>
          <w:b/>
          <w:bCs/>
        </w:rPr>
        <w:t>🔐</w:t>
      </w:r>
      <w:r w:rsidRPr="0052249E">
        <w:rPr>
          <w:b/>
          <w:bCs/>
        </w:rPr>
        <w:t xml:space="preserve"> Risk &amp; compliance notes</w:t>
      </w:r>
    </w:p>
    <w:p w14:paraId="2C37E5C0" w14:textId="77777777" w:rsidR="0052249E" w:rsidRPr="0052249E" w:rsidRDefault="0052249E" w:rsidP="0052249E">
      <w:pPr>
        <w:numPr>
          <w:ilvl w:val="0"/>
          <w:numId w:val="9"/>
        </w:numPr>
        <w:spacing w:after="0" w:line="240" w:lineRule="auto"/>
        <w:jc w:val="both"/>
      </w:pPr>
      <w:r w:rsidRPr="0052249E">
        <w:lastRenderedPageBreak/>
        <w:t xml:space="preserve">Keep </w:t>
      </w:r>
      <w:r w:rsidRPr="0052249E">
        <w:rPr>
          <w:b/>
          <w:bCs/>
        </w:rPr>
        <w:t>PHI</w:t>
      </w:r>
      <w:r w:rsidRPr="0052249E">
        <w:t xml:space="preserve"> within your VPC; MCP servers run </w:t>
      </w:r>
      <w:r w:rsidRPr="0052249E">
        <w:rPr>
          <w:b/>
          <w:bCs/>
        </w:rPr>
        <w:t>inside</w:t>
      </w:r>
      <w:r w:rsidRPr="0052249E">
        <w:t xml:space="preserve"> your network; outbound calls to CMS public resources are non</w:t>
      </w:r>
      <w:r w:rsidRPr="0052249E">
        <w:noBreakHyphen/>
        <w:t>PHI.</w:t>
      </w:r>
    </w:p>
    <w:p w14:paraId="7775C3EC" w14:textId="77777777" w:rsidR="0052249E" w:rsidRPr="0052249E" w:rsidRDefault="0052249E" w:rsidP="0052249E">
      <w:pPr>
        <w:numPr>
          <w:ilvl w:val="0"/>
          <w:numId w:val="9"/>
        </w:numPr>
        <w:spacing w:after="0" w:line="240" w:lineRule="auto"/>
        <w:jc w:val="both"/>
      </w:pPr>
      <w:r w:rsidRPr="0052249E">
        <w:rPr>
          <w:b/>
          <w:bCs/>
        </w:rPr>
        <w:t>Monthly</w:t>
      </w:r>
      <w:r w:rsidRPr="0052249E">
        <w:t xml:space="preserve"> refresh of LEIE; </w:t>
      </w:r>
      <w:r w:rsidRPr="0052249E">
        <w:rPr>
          <w:b/>
          <w:bCs/>
        </w:rPr>
        <w:t>quarterly</w:t>
      </w:r>
      <w:r w:rsidRPr="0052249E">
        <w:t xml:space="preserve"> refresh of NCCI PTP/MUE; </w:t>
      </w:r>
      <w:r w:rsidRPr="0052249E">
        <w:rPr>
          <w:b/>
          <w:bCs/>
        </w:rPr>
        <w:t>annual</w:t>
      </w:r>
      <w:r w:rsidRPr="0052249E">
        <w:t xml:space="preserve"> PFS/telehealth updates to avoid policy drift. </w:t>
      </w:r>
      <w:hyperlink r:id="rId63" w:history="1">
        <w:r w:rsidRPr="0052249E">
          <w:rPr>
            <w:rStyle w:val="Hyperlink"/>
          </w:rPr>
          <w:t>[9]</w:t>
        </w:r>
      </w:hyperlink>
      <w:hyperlink r:id="rId64" w:history="1">
        <w:r w:rsidRPr="0052249E">
          <w:rPr>
            <w:rStyle w:val="Hyperlink"/>
          </w:rPr>
          <w:t>[4]</w:t>
        </w:r>
      </w:hyperlink>
      <w:hyperlink r:id="rId65" w:history="1">
        <w:r w:rsidRPr="0052249E">
          <w:rPr>
            <w:rStyle w:val="Hyperlink"/>
          </w:rPr>
          <w:t>[12]</w:t>
        </w:r>
      </w:hyperlink>
    </w:p>
    <w:p w14:paraId="7BEA3861" w14:textId="77777777" w:rsidR="0052249E" w:rsidRPr="0052249E" w:rsidRDefault="0052249E" w:rsidP="0052249E">
      <w:pPr>
        <w:spacing w:after="0" w:line="240" w:lineRule="auto"/>
        <w:jc w:val="both"/>
      </w:pPr>
      <w:r w:rsidRPr="0052249E">
        <w:pict w14:anchorId="75697690">
          <v:rect id="_x0000_i1036" style="width:0;height:1.5pt" o:hralign="center" o:hrstd="t" o:hr="t" fillcolor="#a0a0a0" stroked="f"/>
        </w:pict>
      </w:r>
    </w:p>
    <w:p w14:paraId="6381E6FC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b/>
          <w:bCs/>
        </w:rPr>
        <w:t>Want me to jump-start this?</w:t>
      </w:r>
    </w:p>
    <w:p w14:paraId="0987343B" w14:textId="77777777" w:rsidR="0052249E" w:rsidRPr="0052249E" w:rsidRDefault="0052249E" w:rsidP="0052249E">
      <w:pPr>
        <w:spacing w:after="0" w:line="240" w:lineRule="auto"/>
        <w:jc w:val="both"/>
      </w:pPr>
      <w:r w:rsidRPr="0052249E">
        <w:t>I can:</w:t>
      </w:r>
    </w:p>
    <w:p w14:paraId="22EB7761" w14:textId="77777777" w:rsidR="0052249E" w:rsidRPr="0052249E" w:rsidRDefault="0052249E" w:rsidP="0052249E">
      <w:pPr>
        <w:numPr>
          <w:ilvl w:val="0"/>
          <w:numId w:val="10"/>
        </w:numPr>
        <w:spacing w:after="0" w:line="240" w:lineRule="auto"/>
        <w:jc w:val="both"/>
      </w:pPr>
      <w:r w:rsidRPr="0052249E">
        <w:t xml:space="preserve">Draft the </w:t>
      </w:r>
      <w:r w:rsidRPr="0052249E">
        <w:rPr>
          <w:b/>
          <w:bCs/>
        </w:rPr>
        <w:t>feature catalog</w:t>
      </w:r>
      <w:r w:rsidRPr="0052249E">
        <w:t xml:space="preserve"> aligned to your schemas and labels,</w:t>
      </w:r>
    </w:p>
    <w:p w14:paraId="3E4F83B4" w14:textId="77777777" w:rsidR="0052249E" w:rsidRPr="0052249E" w:rsidRDefault="0052249E" w:rsidP="0052249E">
      <w:pPr>
        <w:numPr>
          <w:ilvl w:val="0"/>
          <w:numId w:val="10"/>
        </w:numPr>
        <w:spacing w:after="0" w:line="240" w:lineRule="auto"/>
        <w:jc w:val="both"/>
      </w:pPr>
      <w:r w:rsidRPr="0052249E">
        <w:t xml:space="preserve">Provide a </w:t>
      </w:r>
      <w:r w:rsidRPr="0052249E">
        <w:rPr>
          <w:b/>
          <w:bCs/>
        </w:rPr>
        <w:t>starter MCP server</w:t>
      </w:r>
      <w:r w:rsidRPr="0052249E">
        <w:t xml:space="preserve"> for NCCI/LCD/NPPES/LEIE,</w:t>
      </w:r>
    </w:p>
    <w:p w14:paraId="0B7C6477" w14:textId="77777777" w:rsidR="0052249E" w:rsidRPr="0052249E" w:rsidRDefault="0052249E" w:rsidP="0052249E">
      <w:pPr>
        <w:numPr>
          <w:ilvl w:val="0"/>
          <w:numId w:val="10"/>
        </w:numPr>
        <w:spacing w:after="0" w:line="240" w:lineRule="auto"/>
        <w:jc w:val="both"/>
      </w:pPr>
      <w:r w:rsidRPr="0052249E">
        <w:t xml:space="preserve">Ship a </w:t>
      </w:r>
      <w:r w:rsidRPr="0052249E">
        <w:rPr>
          <w:b/>
          <w:bCs/>
        </w:rPr>
        <w:t>baseline LightGBM</w:t>
      </w:r>
      <w:r w:rsidRPr="0052249E">
        <w:t xml:space="preserve"> with calibration and </w:t>
      </w:r>
      <w:r w:rsidRPr="0052249E">
        <w:rPr>
          <w:b/>
          <w:bCs/>
        </w:rPr>
        <w:t>SHAP</w:t>
      </w:r>
      <w:r w:rsidRPr="0052249E">
        <w:rPr>
          <w:b/>
          <w:bCs/>
        </w:rPr>
        <w:noBreakHyphen/>
        <w:t>based</w:t>
      </w:r>
      <w:r w:rsidRPr="0052249E">
        <w:t xml:space="preserve"> explanation templates,</w:t>
      </w:r>
    </w:p>
    <w:p w14:paraId="3E26D510" w14:textId="77777777" w:rsidR="0052249E" w:rsidRPr="0052249E" w:rsidRDefault="0052249E" w:rsidP="0052249E">
      <w:pPr>
        <w:numPr>
          <w:ilvl w:val="0"/>
          <w:numId w:val="10"/>
        </w:numPr>
        <w:spacing w:after="0" w:line="240" w:lineRule="auto"/>
        <w:jc w:val="both"/>
      </w:pPr>
      <w:r w:rsidRPr="0052249E">
        <w:t xml:space="preserve">Stand up a </w:t>
      </w:r>
      <w:r w:rsidRPr="0052249E">
        <w:rPr>
          <w:b/>
          <w:bCs/>
        </w:rPr>
        <w:t>triage dashboard</w:t>
      </w:r>
      <w:r w:rsidRPr="0052249E">
        <w:t xml:space="preserve"> (Precision\@K, yield, investigator capacity).</w:t>
      </w:r>
    </w:p>
    <w:p w14:paraId="72C8AA9D" w14:textId="77777777" w:rsidR="0052249E" w:rsidRPr="0052249E" w:rsidRDefault="0052249E" w:rsidP="0052249E">
      <w:pPr>
        <w:spacing w:after="0" w:line="240" w:lineRule="auto"/>
        <w:jc w:val="both"/>
      </w:pPr>
      <w:r w:rsidRPr="0052249E">
        <w:rPr>
          <w:b/>
          <w:bCs/>
        </w:rPr>
        <w:t>A couple of quick inputs would help me tailor it:</w:t>
      </w:r>
    </w:p>
    <w:p w14:paraId="17464724" w14:textId="77777777" w:rsidR="0052249E" w:rsidRPr="0052249E" w:rsidRDefault="0052249E" w:rsidP="0052249E">
      <w:pPr>
        <w:numPr>
          <w:ilvl w:val="0"/>
          <w:numId w:val="11"/>
        </w:numPr>
        <w:spacing w:after="0" w:line="240" w:lineRule="auto"/>
        <w:jc w:val="both"/>
      </w:pPr>
      <w:r w:rsidRPr="0052249E">
        <w:t>Which lines of business are we targeting first—</w:t>
      </w:r>
      <w:r w:rsidRPr="0052249E">
        <w:rPr>
          <w:b/>
          <w:bCs/>
        </w:rPr>
        <w:t>MA, Medicaid, commercial, or FFS</w:t>
      </w:r>
      <w:r w:rsidRPr="0052249E">
        <w:t xml:space="preserve">? (LCD/NCD application varies by MAC/region.) </w:t>
      </w:r>
      <w:hyperlink r:id="rId66" w:history="1">
        <w:r w:rsidRPr="0052249E">
          <w:rPr>
            <w:rStyle w:val="Hyperlink"/>
          </w:rPr>
          <w:t>[6]</w:t>
        </w:r>
      </w:hyperlink>
    </w:p>
    <w:p w14:paraId="7E23FE86" w14:textId="77777777" w:rsidR="0052249E" w:rsidRPr="0052249E" w:rsidRDefault="0052249E" w:rsidP="0052249E">
      <w:pPr>
        <w:numPr>
          <w:ilvl w:val="0"/>
          <w:numId w:val="11"/>
        </w:numPr>
        <w:spacing w:after="0" w:line="240" w:lineRule="auto"/>
        <w:jc w:val="both"/>
      </w:pPr>
      <w:r w:rsidRPr="0052249E">
        <w:t xml:space="preserve">Is your first deployment </w:t>
      </w:r>
      <w:r w:rsidRPr="0052249E">
        <w:rPr>
          <w:b/>
          <w:bCs/>
        </w:rPr>
        <w:t>pre</w:t>
      </w:r>
      <w:r w:rsidRPr="0052249E">
        <w:rPr>
          <w:b/>
          <w:bCs/>
        </w:rPr>
        <w:noBreakHyphen/>
        <w:t>pay</w:t>
      </w:r>
      <w:r w:rsidRPr="0052249E">
        <w:t xml:space="preserve">, </w:t>
      </w:r>
      <w:r w:rsidRPr="0052249E">
        <w:rPr>
          <w:b/>
          <w:bCs/>
        </w:rPr>
        <w:t>post</w:t>
      </w:r>
      <w:r w:rsidRPr="0052249E">
        <w:rPr>
          <w:b/>
          <w:bCs/>
        </w:rPr>
        <w:noBreakHyphen/>
        <w:t>pay</w:t>
      </w:r>
      <w:r w:rsidRPr="0052249E">
        <w:t>, or both (different latency and precision targets)?</w:t>
      </w:r>
    </w:p>
    <w:p w14:paraId="45E861B3" w14:textId="77777777" w:rsidR="0052249E" w:rsidRPr="0052249E" w:rsidRDefault="0052249E" w:rsidP="0052249E">
      <w:pPr>
        <w:numPr>
          <w:ilvl w:val="0"/>
          <w:numId w:val="11"/>
        </w:numPr>
        <w:spacing w:after="0" w:line="240" w:lineRule="auto"/>
        <w:jc w:val="both"/>
      </w:pPr>
      <w:r w:rsidRPr="0052249E">
        <w:t xml:space="preserve">Are we cleared to call </w:t>
      </w:r>
      <w:r w:rsidRPr="0052249E">
        <w:rPr>
          <w:b/>
          <w:bCs/>
        </w:rPr>
        <w:t>public CMS endpoints</w:t>
      </w:r>
      <w:r w:rsidRPr="0052249E">
        <w:t xml:space="preserve"> from within your network, and to cache quarterly </w:t>
      </w:r>
      <w:r w:rsidRPr="0052249E">
        <w:rPr>
          <w:b/>
          <w:bCs/>
        </w:rPr>
        <w:t>NCCI</w:t>
      </w:r>
      <w:r w:rsidRPr="0052249E">
        <w:t xml:space="preserve"> files? </w:t>
      </w:r>
      <w:hyperlink r:id="rId67" w:history="1">
        <w:r w:rsidRPr="0052249E">
          <w:rPr>
            <w:rStyle w:val="Hyperlink"/>
          </w:rPr>
          <w:t>[3]</w:t>
        </w:r>
      </w:hyperlink>
    </w:p>
    <w:p w14:paraId="7EF8F627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Given your interest in </w:t>
      </w:r>
      <w:r w:rsidRPr="0052249E">
        <w:rPr>
          <w:b/>
          <w:bCs/>
        </w:rPr>
        <w:t>agentic AI</w:t>
      </w:r>
      <w:r w:rsidRPr="0052249E">
        <w:t xml:space="preserve">, this MCP approach not only boosts detection accuracy but also </w:t>
      </w:r>
      <w:r w:rsidRPr="0052249E">
        <w:rPr>
          <w:b/>
          <w:bCs/>
        </w:rPr>
        <w:t>grounds the agent’s reasoning in the exact CMS rules</w:t>
      </w:r>
      <w:r w:rsidRPr="0052249E">
        <w:t xml:space="preserve"> investigators already trust—reducing friction and </w:t>
      </w:r>
      <w:r w:rsidRPr="0052249E">
        <w:rPr>
          <w:b/>
          <w:bCs/>
        </w:rPr>
        <w:t>speeding recoveries</w:t>
      </w:r>
      <w:r w:rsidRPr="0052249E">
        <w:t>.</w:t>
      </w:r>
    </w:p>
    <w:p w14:paraId="3008261D" w14:textId="77777777" w:rsidR="0052249E" w:rsidRPr="0052249E" w:rsidRDefault="0052249E" w:rsidP="0052249E">
      <w:pPr>
        <w:spacing w:after="0" w:line="240" w:lineRule="auto"/>
        <w:jc w:val="both"/>
        <w:rPr>
          <w:b/>
          <w:bCs/>
        </w:rPr>
      </w:pPr>
      <w:r w:rsidRPr="0052249E">
        <w:rPr>
          <w:b/>
          <w:bCs/>
        </w:rPr>
        <w:br/>
        <w:t>References</w:t>
      </w:r>
    </w:p>
    <w:p w14:paraId="43AAE866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[1] </w:t>
      </w:r>
      <w:hyperlink r:id="rId68" w:history="1">
        <w:r w:rsidRPr="0052249E">
          <w:rPr>
            <w:rStyle w:val="Hyperlink"/>
          </w:rPr>
          <w:t>modelcontextprotocol.io</w:t>
        </w:r>
      </w:hyperlink>
    </w:p>
    <w:p w14:paraId="0EA25DEF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[2] </w:t>
      </w:r>
      <w:hyperlink r:id="rId69" w:history="1">
        <w:r w:rsidRPr="0052249E">
          <w:rPr>
            <w:rStyle w:val="Hyperlink"/>
          </w:rPr>
          <w:t>www.anthropic.com</w:t>
        </w:r>
      </w:hyperlink>
    </w:p>
    <w:p w14:paraId="05FA5B3E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[3] </w:t>
      </w:r>
      <w:hyperlink r:id="rId70" w:history="1">
        <w:r w:rsidRPr="0052249E">
          <w:rPr>
            <w:rStyle w:val="Hyperlink"/>
          </w:rPr>
          <w:t>www.cms.gov</w:t>
        </w:r>
      </w:hyperlink>
    </w:p>
    <w:p w14:paraId="708AFC96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[4] </w:t>
      </w:r>
      <w:hyperlink r:id="rId71" w:history="1">
        <w:r w:rsidRPr="0052249E">
          <w:rPr>
            <w:rStyle w:val="Hyperlink"/>
          </w:rPr>
          <w:t>www.cms.gov</w:t>
        </w:r>
      </w:hyperlink>
    </w:p>
    <w:p w14:paraId="1F0906FF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[5] </w:t>
      </w:r>
      <w:hyperlink r:id="rId72" w:history="1">
        <w:r w:rsidRPr="0052249E">
          <w:rPr>
            <w:rStyle w:val="Hyperlink"/>
          </w:rPr>
          <w:t>www.cms.gov</w:t>
        </w:r>
      </w:hyperlink>
    </w:p>
    <w:p w14:paraId="385E2BE5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[6] </w:t>
      </w:r>
      <w:hyperlink r:id="rId73" w:history="1">
        <w:r w:rsidRPr="0052249E">
          <w:rPr>
            <w:rStyle w:val="Hyperlink"/>
          </w:rPr>
          <w:t>www.cms.gov</w:t>
        </w:r>
      </w:hyperlink>
    </w:p>
    <w:p w14:paraId="0FC6C011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[7] </w:t>
      </w:r>
      <w:hyperlink r:id="rId74" w:history="1">
        <w:r w:rsidRPr="0052249E">
          <w:rPr>
            <w:rStyle w:val="Hyperlink"/>
          </w:rPr>
          <w:t>npiregistry.cms.hhs.gov</w:t>
        </w:r>
      </w:hyperlink>
    </w:p>
    <w:p w14:paraId="56C317C7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[8] </w:t>
      </w:r>
      <w:hyperlink r:id="rId75" w:history="1">
        <w:r w:rsidRPr="0052249E">
          <w:rPr>
            <w:rStyle w:val="Hyperlink"/>
          </w:rPr>
          <w:t>exclusions.oig.hhs.gov</w:t>
        </w:r>
      </w:hyperlink>
    </w:p>
    <w:p w14:paraId="157411B3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[9] </w:t>
      </w:r>
      <w:hyperlink r:id="rId76" w:history="1">
        <w:r w:rsidRPr="0052249E">
          <w:rPr>
            <w:rStyle w:val="Hyperlink"/>
          </w:rPr>
          <w:t>www.careproviders.org</w:t>
        </w:r>
      </w:hyperlink>
    </w:p>
    <w:p w14:paraId="20D7C2CA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[10] </w:t>
      </w:r>
      <w:hyperlink r:id="rId77" w:history="1">
        <w:r w:rsidRPr="0052249E">
          <w:rPr>
            <w:rStyle w:val="Hyperlink"/>
          </w:rPr>
          <w:t>www.cms.gov</w:t>
        </w:r>
      </w:hyperlink>
    </w:p>
    <w:p w14:paraId="10589328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[11] </w:t>
      </w:r>
      <w:hyperlink r:id="rId78" w:history="1">
        <w:r w:rsidRPr="0052249E">
          <w:rPr>
            <w:rStyle w:val="Hyperlink"/>
          </w:rPr>
          <w:t>www.cms.gov</w:t>
        </w:r>
      </w:hyperlink>
    </w:p>
    <w:p w14:paraId="31121BDB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[12] </w:t>
      </w:r>
      <w:hyperlink r:id="rId79" w:history="1">
        <w:r w:rsidRPr="0052249E">
          <w:rPr>
            <w:rStyle w:val="Hyperlink"/>
          </w:rPr>
          <w:t>www.cms.gov</w:t>
        </w:r>
      </w:hyperlink>
    </w:p>
    <w:p w14:paraId="1EC36E7D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[13] </w:t>
      </w:r>
      <w:hyperlink r:id="rId80" w:history="1">
        <w:r w:rsidRPr="0052249E">
          <w:rPr>
            <w:rStyle w:val="Hyperlink"/>
          </w:rPr>
          <w:t>www.cchpca.org</w:t>
        </w:r>
      </w:hyperlink>
    </w:p>
    <w:p w14:paraId="4A72614A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[14] </w:t>
      </w:r>
      <w:hyperlink r:id="rId81" w:history="1">
        <w:r w:rsidRPr="0052249E">
          <w:rPr>
            <w:rStyle w:val="Hyperlink"/>
          </w:rPr>
          <w:t>telehealthresourcecenter.org</w:t>
        </w:r>
      </w:hyperlink>
    </w:p>
    <w:p w14:paraId="210B3059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[15] </w:t>
      </w:r>
      <w:hyperlink r:id="rId82" w:history="1">
        <w:r w:rsidRPr="0052249E">
          <w:rPr>
            <w:rStyle w:val="Hyperlink"/>
          </w:rPr>
          <w:t>www.cms.gov</w:t>
        </w:r>
      </w:hyperlink>
    </w:p>
    <w:p w14:paraId="454A7F5A" w14:textId="77777777" w:rsidR="0052249E" w:rsidRPr="0052249E" w:rsidRDefault="0052249E" w:rsidP="0052249E">
      <w:pPr>
        <w:spacing w:after="0" w:line="240" w:lineRule="auto"/>
        <w:jc w:val="both"/>
      </w:pPr>
      <w:r w:rsidRPr="0052249E">
        <w:t xml:space="preserve">[16] </w:t>
      </w:r>
      <w:hyperlink r:id="rId83" w:history="1">
        <w:r w:rsidRPr="0052249E">
          <w:rPr>
            <w:rStyle w:val="Hyperlink"/>
          </w:rPr>
          <w:t>oig.hhs.gov</w:t>
        </w:r>
      </w:hyperlink>
    </w:p>
    <w:p w14:paraId="6AE7C0D8" w14:textId="77777777" w:rsidR="0052249E" w:rsidRDefault="0052249E" w:rsidP="0052249E">
      <w:pPr>
        <w:spacing w:after="0" w:line="240" w:lineRule="auto"/>
        <w:jc w:val="both"/>
      </w:pPr>
    </w:p>
    <w:sectPr w:rsidR="0052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3AC"/>
    <w:multiLevelType w:val="multilevel"/>
    <w:tmpl w:val="066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5101"/>
    <w:multiLevelType w:val="multilevel"/>
    <w:tmpl w:val="976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080"/>
    <w:multiLevelType w:val="multilevel"/>
    <w:tmpl w:val="86D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C1310"/>
    <w:multiLevelType w:val="multilevel"/>
    <w:tmpl w:val="DCE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613"/>
    <w:multiLevelType w:val="multilevel"/>
    <w:tmpl w:val="792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B1789"/>
    <w:multiLevelType w:val="multilevel"/>
    <w:tmpl w:val="22CC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350BB"/>
    <w:multiLevelType w:val="multilevel"/>
    <w:tmpl w:val="A800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D4E2B"/>
    <w:multiLevelType w:val="multilevel"/>
    <w:tmpl w:val="0EE2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414B9"/>
    <w:multiLevelType w:val="multilevel"/>
    <w:tmpl w:val="49BC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1160E"/>
    <w:multiLevelType w:val="multilevel"/>
    <w:tmpl w:val="80C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A5C38"/>
    <w:multiLevelType w:val="multilevel"/>
    <w:tmpl w:val="518A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4848">
    <w:abstractNumId w:val="5"/>
  </w:num>
  <w:num w:numId="2" w16cid:durableId="805123968">
    <w:abstractNumId w:val="6"/>
  </w:num>
  <w:num w:numId="3" w16cid:durableId="1563176755">
    <w:abstractNumId w:val="1"/>
  </w:num>
  <w:num w:numId="4" w16cid:durableId="124857847">
    <w:abstractNumId w:val="8"/>
  </w:num>
  <w:num w:numId="5" w16cid:durableId="1422066862">
    <w:abstractNumId w:val="2"/>
  </w:num>
  <w:num w:numId="6" w16cid:durableId="1763916842">
    <w:abstractNumId w:val="7"/>
  </w:num>
  <w:num w:numId="7" w16cid:durableId="1100368774">
    <w:abstractNumId w:val="9"/>
  </w:num>
  <w:num w:numId="8" w16cid:durableId="402530820">
    <w:abstractNumId w:val="0"/>
  </w:num>
  <w:num w:numId="9" w16cid:durableId="2105686226">
    <w:abstractNumId w:val="4"/>
  </w:num>
  <w:num w:numId="10" w16cid:durableId="410084468">
    <w:abstractNumId w:val="3"/>
  </w:num>
  <w:num w:numId="11" w16cid:durableId="8242019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E"/>
    <w:rsid w:val="0052249E"/>
    <w:rsid w:val="009774FA"/>
    <w:rsid w:val="00A936C1"/>
    <w:rsid w:val="00F4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2DCA"/>
  <w15:chartTrackingRefBased/>
  <w15:docId w15:val="{A146A014-23C3-4B9E-81A4-C8C7628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reproviders.org/CPM/CPM/ACTION/Vol40/Ed36/ZP13.aspx" TargetMode="External"/><Relationship Id="rId18" Type="http://schemas.openxmlformats.org/officeDocument/2006/relationships/hyperlink" Target="https://telehealthresourcecenter.org/resources/fact-sheets/final-physician-fee-schedule-pfs-cy-2025-factsheet/" TargetMode="External"/><Relationship Id="rId26" Type="http://schemas.openxmlformats.org/officeDocument/2006/relationships/hyperlink" Target="https://modelcontextprotocol.io/specification/2025-03-26/index" TargetMode="External"/><Relationship Id="rId39" Type="http://schemas.openxmlformats.org/officeDocument/2006/relationships/hyperlink" Target="https://npiregistry.cms.hhs.gov/api-page" TargetMode="External"/><Relationship Id="rId21" Type="http://schemas.openxmlformats.org/officeDocument/2006/relationships/hyperlink" Target="https://www.cms.gov/medicare/coverage/telehealth/list-services" TargetMode="External"/><Relationship Id="rId34" Type="http://schemas.openxmlformats.org/officeDocument/2006/relationships/hyperlink" Target="https://www.cms.gov/medicare-coverage-database/search.aspx?from=Overview" TargetMode="External"/><Relationship Id="rId42" Type="http://schemas.openxmlformats.org/officeDocument/2006/relationships/hyperlink" Target="https://www.cms.gov/medicare/coverage/telehealth/list-services" TargetMode="External"/><Relationship Id="rId47" Type="http://schemas.openxmlformats.org/officeDocument/2006/relationships/hyperlink" Target="https://www.cms.gov/medicare-coverage-database/search.aspx?from=Overview" TargetMode="External"/><Relationship Id="rId50" Type="http://schemas.openxmlformats.org/officeDocument/2006/relationships/hyperlink" Target="https://www.cms.gov/medicare/coverage/telehealth/list-services" TargetMode="External"/><Relationship Id="rId55" Type="http://schemas.openxmlformats.org/officeDocument/2006/relationships/hyperlink" Target="https://npiregistry.cms.hhs.gov/api-page" TargetMode="External"/><Relationship Id="rId63" Type="http://schemas.openxmlformats.org/officeDocument/2006/relationships/hyperlink" Target="https://www.careproviders.org/CPM/CPM/ACTION/Vol40/Ed36/ZP13.aspx" TargetMode="External"/><Relationship Id="rId68" Type="http://schemas.openxmlformats.org/officeDocument/2006/relationships/hyperlink" Target="https://modelcontextprotocol.io/specification/2025-03-26/index" TargetMode="External"/><Relationship Id="rId76" Type="http://schemas.openxmlformats.org/officeDocument/2006/relationships/hyperlink" Target="https://www.careproviders.org/CPM/CPM/ACTION/Vol40/Ed36/ZP13.aspx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cms.gov/medicare/coding-billing/ncci-medicare" TargetMode="External"/><Relationship Id="rId71" Type="http://schemas.openxmlformats.org/officeDocument/2006/relationships/hyperlink" Target="https://www.cms.gov/medicare/coding-billing/national-correct-coding-initiative-ncci-edits/medicare-ncci-medically-unlikely-ed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s.gov/medicare/coverage/telehealth/list-services" TargetMode="External"/><Relationship Id="rId29" Type="http://schemas.openxmlformats.org/officeDocument/2006/relationships/hyperlink" Target="https://www.cms.gov/medicare/coverage/telehealth/list-services" TargetMode="External"/><Relationship Id="rId11" Type="http://schemas.openxmlformats.org/officeDocument/2006/relationships/hyperlink" Target="https://npiregistry.cms.hhs.gov/api-page" TargetMode="External"/><Relationship Id="rId24" Type="http://schemas.openxmlformats.org/officeDocument/2006/relationships/hyperlink" Target="https://www.cms.gov/medicare/coding-billing/national-correct-coding-initiative-ncci-edits/medicare-ncci-policy-manual" TargetMode="External"/><Relationship Id="rId32" Type="http://schemas.openxmlformats.org/officeDocument/2006/relationships/hyperlink" Target="https://exclusions.oig.hhs.gov/" TargetMode="External"/><Relationship Id="rId37" Type="http://schemas.openxmlformats.org/officeDocument/2006/relationships/hyperlink" Target="https://www.cms.gov/medicare/coding-billing/national-correct-coding-initiative-ncci-edits/medicare-ncci-medically-unlikely-edits" TargetMode="External"/><Relationship Id="rId40" Type="http://schemas.openxmlformats.org/officeDocument/2006/relationships/hyperlink" Target="https://exclusions.oig.hhs.gov/" TargetMode="External"/><Relationship Id="rId45" Type="http://schemas.openxmlformats.org/officeDocument/2006/relationships/hyperlink" Target="https://www.cms.gov/outreach-and-education/medicare-learning-network-mln/mlnmattersarticles/downloads/se17017.pdf" TargetMode="External"/><Relationship Id="rId53" Type="http://schemas.openxmlformats.org/officeDocument/2006/relationships/hyperlink" Target="https://www.cms.gov/medicare/coverage/telehealth/list-services" TargetMode="External"/><Relationship Id="rId58" Type="http://schemas.openxmlformats.org/officeDocument/2006/relationships/hyperlink" Target="https://npiregistry.cms.hhs.gov/api-page" TargetMode="External"/><Relationship Id="rId66" Type="http://schemas.openxmlformats.org/officeDocument/2006/relationships/hyperlink" Target="https://www.cms.gov/medicare-coverage-database/search.aspx?from=Overview" TargetMode="External"/><Relationship Id="rId74" Type="http://schemas.openxmlformats.org/officeDocument/2006/relationships/hyperlink" Target="https://npiregistry.cms.hhs.gov/api-page" TargetMode="External"/><Relationship Id="rId79" Type="http://schemas.openxmlformats.org/officeDocument/2006/relationships/hyperlink" Target="https://www.cms.gov/medicare/coverage/telehealth/list-services" TargetMode="External"/><Relationship Id="rId5" Type="http://schemas.openxmlformats.org/officeDocument/2006/relationships/hyperlink" Target="https://modelcontextprotocol.io/specification/2025-03-26/index" TargetMode="External"/><Relationship Id="rId61" Type="http://schemas.openxmlformats.org/officeDocument/2006/relationships/hyperlink" Target="https://www.cms.gov/medicare/coding-billing/ncci-medicare" TargetMode="External"/><Relationship Id="rId82" Type="http://schemas.openxmlformats.org/officeDocument/2006/relationships/hyperlink" Target="https://www.cms.gov/outreach-and-education/medicare-learning-network-mln/mlnmattersarticles/downloads/se17017.pdf" TargetMode="External"/><Relationship Id="rId19" Type="http://schemas.openxmlformats.org/officeDocument/2006/relationships/hyperlink" Target="https://www.cms.gov/medicare/coding-billing/ncci-medic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s.gov/medicare/coding-billing/national-correct-coding-initiative-ncci-edits/medicare-ncci-policy-manual" TargetMode="External"/><Relationship Id="rId14" Type="http://schemas.openxmlformats.org/officeDocument/2006/relationships/hyperlink" Target="https://www.cms.gov/newsroom/fact-sheets/fiscal-year-2024-improper-payments-fact-sheet" TargetMode="External"/><Relationship Id="rId22" Type="http://schemas.openxmlformats.org/officeDocument/2006/relationships/hyperlink" Target="https://exclusions.oig.hhs.gov/" TargetMode="External"/><Relationship Id="rId27" Type="http://schemas.openxmlformats.org/officeDocument/2006/relationships/hyperlink" Target="https://www.cms.gov/medicare/coding-billing/ncci-medicare" TargetMode="External"/><Relationship Id="rId30" Type="http://schemas.openxmlformats.org/officeDocument/2006/relationships/hyperlink" Target="https://www.cchpca.org/2024/11/CY-2025-PFS-FINAL.pdf" TargetMode="External"/><Relationship Id="rId35" Type="http://schemas.openxmlformats.org/officeDocument/2006/relationships/hyperlink" Target="https://www.cms.gov/outreach-and-education/medicare-learning-network-mln/mlnmattersarticles/downloads/se17017.pdf" TargetMode="External"/><Relationship Id="rId43" Type="http://schemas.openxmlformats.org/officeDocument/2006/relationships/hyperlink" Target="https://telehealthresourcecenter.org/resources/fact-sheets/final-physician-fee-schedule-pfs-cy-2025-factsheet/" TargetMode="External"/><Relationship Id="rId48" Type="http://schemas.openxmlformats.org/officeDocument/2006/relationships/hyperlink" Target="https://npiregistry.cms.hhs.gov/api-page" TargetMode="External"/><Relationship Id="rId56" Type="http://schemas.openxmlformats.org/officeDocument/2006/relationships/hyperlink" Target="https://www.cms.gov/medicare/coding-billing/national-correct-coding-initiative-ncci-edits/medicare-ncci-medically-unlikely-edits" TargetMode="External"/><Relationship Id="rId64" Type="http://schemas.openxmlformats.org/officeDocument/2006/relationships/hyperlink" Target="https://www.cms.gov/medicare/coding-billing/national-correct-coding-initiative-ncci-edits/medicare-ncci-medically-unlikely-edits" TargetMode="External"/><Relationship Id="rId69" Type="http://schemas.openxmlformats.org/officeDocument/2006/relationships/hyperlink" Target="https://www.anthropic.com/news/model-context-protocol" TargetMode="External"/><Relationship Id="rId77" Type="http://schemas.openxmlformats.org/officeDocument/2006/relationships/hyperlink" Target="https://www.cms.gov/newsroom/fact-sheets/fiscal-year-2024-improper-payments-fact-sheet" TargetMode="External"/><Relationship Id="rId8" Type="http://schemas.openxmlformats.org/officeDocument/2006/relationships/hyperlink" Target="https://www.cms.gov/medicare/coding-billing/national-correct-coding-initiative-ncci-edits/medicare-ncci-medically-unlikely-edits" TargetMode="External"/><Relationship Id="rId51" Type="http://schemas.openxmlformats.org/officeDocument/2006/relationships/hyperlink" Target="https://www.cchpca.org/2024/11/CY-2025-PFS-FINAL.pdf" TargetMode="External"/><Relationship Id="rId72" Type="http://schemas.openxmlformats.org/officeDocument/2006/relationships/hyperlink" Target="https://www.cms.gov/medicare/coding-billing/national-correct-coding-initiative-ncci-edits/medicare-ncci-policy-manual" TargetMode="External"/><Relationship Id="rId80" Type="http://schemas.openxmlformats.org/officeDocument/2006/relationships/hyperlink" Target="https://www.cchpca.org/2024/11/CY-2025-PFS-FINAL.pdf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xclusions.oig.hhs.gov/" TargetMode="External"/><Relationship Id="rId17" Type="http://schemas.openxmlformats.org/officeDocument/2006/relationships/hyperlink" Target="https://www.cchpca.org/2024/11/CY-2025-PFS-FINAL.pdf" TargetMode="External"/><Relationship Id="rId25" Type="http://schemas.openxmlformats.org/officeDocument/2006/relationships/hyperlink" Target="https://www.cms.gov/medicare-coverage-database/search.aspx?from=Overview" TargetMode="External"/><Relationship Id="rId33" Type="http://schemas.openxmlformats.org/officeDocument/2006/relationships/hyperlink" Target="https://www.cms.gov/medicare/coding-billing/national-correct-coding-initiative-ncci-edits/medicare-ncci-policy-manual" TargetMode="External"/><Relationship Id="rId38" Type="http://schemas.openxmlformats.org/officeDocument/2006/relationships/hyperlink" Target="https://www.cms.gov/medicare/coding-billing/ncci-medicare" TargetMode="External"/><Relationship Id="rId46" Type="http://schemas.openxmlformats.org/officeDocument/2006/relationships/hyperlink" Target="https://www.cms.gov/medicare/coding-billing/national-correct-coding-initiative-ncci-edits/medicare-ncci-medically-unlikely-edits" TargetMode="External"/><Relationship Id="rId59" Type="http://schemas.openxmlformats.org/officeDocument/2006/relationships/hyperlink" Target="https://exclusions.oig.hhs.gov/" TargetMode="External"/><Relationship Id="rId67" Type="http://schemas.openxmlformats.org/officeDocument/2006/relationships/hyperlink" Target="https://www.cms.gov/medicare/coding-billing/ncci-medicare" TargetMode="External"/><Relationship Id="rId20" Type="http://schemas.openxmlformats.org/officeDocument/2006/relationships/hyperlink" Target="https://www.cms.gov/medicare/coding-billing/national-correct-coding-initiative-ncci-edits/medicare-ncci-medically-unlikely-edits" TargetMode="External"/><Relationship Id="rId41" Type="http://schemas.openxmlformats.org/officeDocument/2006/relationships/hyperlink" Target="https://www.cms.gov/medicare-coverage-database/search.aspx?from=Overview" TargetMode="External"/><Relationship Id="rId54" Type="http://schemas.openxmlformats.org/officeDocument/2006/relationships/hyperlink" Target="https://www.cms.gov/medicare/coding-billing/national-correct-coding-initiative-ncci-edits/medicare-ncci-medically-unlikely-edits" TargetMode="External"/><Relationship Id="rId62" Type="http://schemas.openxmlformats.org/officeDocument/2006/relationships/hyperlink" Target="https://modelcontextprotocol.io/specification/2025-03-26/index" TargetMode="External"/><Relationship Id="rId70" Type="http://schemas.openxmlformats.org/officeDocument/2006/relationships/hyperlink" Target="https://www.cms.gov/medicare/coding-billing/ncci-medicare" TargetMode="External"/><Relationship Id="rId75" Type="http://schemas.openxmlformats.org/officeDocument/2006/relationships/hyperlink" Target="https://exclusions.oig.hhs.gov/" TargetMode="External"/><Relationship Id="rId83" Type="http://schemas.openxmlformats.org/officeDocument/2006/relationships/hyperlink" Target="https://oig.hhs.gov/reports/all/2025/medicare-payments-for-evaluation-and-management-services-provided-on-the-same-day-as-eye-injections-were-at-risk-for-noncompliance-with-medicare-require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model-context-protocol" TargetMode="External"/><Relationship Id="rId15" Type="http://schemas.openxmlformats.org/officeDocument/2006/relationships/hyperlink" Target="https://www.cms.gov/data-research/monitoring-programs/improper-payment-measurement-programs/comprehensive-error-rate-testing-cert/improper-payment-rates-and-additional-data" TargetMode="External"/><Relationship Id="rId23" Type="http://schemas.openxmlformats.org/officeDocument/2006/relationships/hyperlink" Target="https://npiregistry.cms.hhs.gov/api-page" TargetMode="External"/><Relationship Id="rId28" Type="http://schemas.openxmlformats.org/officeDocument/2006/relationships/hyperlink" Target="https://www.cms.gov/medicare/coding-billing/national-correct-coding-initiative-ncci-edits/medicare-ncci-medically-unlikely-edits" TargetMode="External"/><Relationship Id="rId36" Type="http://schemas.openxmlformats.org/officeDocument/2006/relationships/hyperlink" Target="https://oig.hhs.gov/reports/all/2025/medicare-payments-for-evaluation-and-management-services-provided-on-the-same-day-as-eye-injections-were-at-risk-for-noncompliance-with-medicare-requirements/" TargetMode="External"/><Relationship Id="rId49" Type="http://schemas.openxmlformats.org/officeDocument/2006/relationships/hyperlink" Target="https://exclusions.oig.hhs.gov/" TargetMode="External"/><Relationship Id="rId57" Type="http://schemas.openxmlformats.org/officeDocument/2006/relationships/hyperlink" Target="https://www.cms.gov/medicare-coverage-database/search.aspx?from=Overview" TargetMode="External"/><Relationship Id="rId10" Type="http://schemas.openxmlformats.org/officeDocument/2006/relationships/hyperlink" Target="https://www.cms.gov/medicare-coverage-database/search.aspx?from=Overview" TargetMode="External"/><Relationship Id="rId31" Type="http://schemas.openxmlformats.org/officeDocument/2006/relationships/hyperlink" Target="https://npiregistry.cms.hhs.gov/api-page" TargetMode="External"/><Relationship Id="rId44" Type="http://schemas.openxmlformats.org/officeDocument/2006/relationships/hyperlink" Target="https://www.cms.gov/medicare/coding-billing/national-correct-coding-initiative-ncci-edits/medicare-ncci-policy-manual" TargetMode="External"/><Relationship Id="rId52" Type="http://schemas.openxmlformats.org/officeDocument/2006/relationships/hyperlink" Target="https://www.cms.gov/newsroom/fact-sheets/fiscal-year-2024-improper-payments-fact-sheet" TargetMode="External"/><Relationship Id="rId60" Type="http://schemas.openxmlformats.org/officeDocument/2006/relationships/hyperlink" Target="https://www.cms.gov/medicare/coding-billing/national-correct-coding-initiative-ncci-edits/medicare-ncci-medically-unlikely-edits" TargetMode="External"/><Relationship Id="rId65" Type="http://schemas.openxmlformats.org/officeDocument/2006/relationships/hyperlink" Target="https://www.cms.gov/medicare/coverage/telehealth/list-services" TargetMode="External"/><Relationship Id="rId73" Type="http://schemas.openxmlformats.org/officeDocument/2006/relationships/hyperlink" Target="https://www.cms.gov/medicare-coverage-database/search.aspx?from=Overview" TargetMode="External"/><Relationship Id="rId78" Type="http://schemas.openxmlformats.org/officeDocument/2006/relationships/hyperlink" Target="https://www.cms.gov/data-research/monitoring-programs/improper-payment-measurement-programs/comprehensive-error-rate-testing-cert/improper-payment-rates-and-additional-data" TargetMode="External"/><Relationship Id="rId81" Type="http://schemas.openxmlformats.org/officeDocument/2006/relationships/hyperlink" Target="https://telehealthresourcecenter.org/resources/fact-sheets/final-physician-fee-schedule-pfs-cy-2025-fac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1412</Words>
  <Characters>9216</Characters>
  <Application>Microsoft Office Word</Application>
  <DocSecurity>0</DocSecurity>
  <Lines>253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Kartikeya, Kanishka</dc:creator>
  <cp:keywords/>
  <dc:description/>
  <cp:lastModifiedBy>Kartikeya, Kanishka</cp:lastModifiedBy>
  <cp:revision>3</cp:revision>
  <dcterms:created xsi:type="dcterms:W3CDTF">2025-10-15T08:35:00Z</dcterms:created>
  <dcterms:modified xsi:type="dcterms:W3CDTF">2025-10-16T01:32:00Z</dcterms:modified>
</cp:coreProperties>
</file>