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AIVA: Autonomous Intelligent Viva Examiner</w:t>
      </w:r>
    </w:p>
    <w:p>
      <w:r>
        <w:t>Kathambari K - Final Year Technical Project Report</w:t>
      </w:r>
    </w:p>
    <w:p>
      <w:pPr>
        <w:pStyle w:val="Heading2"/>
      </w:pPr>
      <w:r>
        <w:t>Abstract &amp; Architecture</w:t>
      </w:r>
    </w:p>
    <w:p>
      <w:r>
        <w:t>This project presents an enterprise microservice deployment leveraging Docker containers and Kubernetes clusters.</w:t>
      </w:r>
    </w:p>
    <w:p>
      <w:r>
        <w:t>FastAPI is employed as the high-throughput asynchronous backend web framework, communicating via RESTful endpoints.</w:t>
      </w:r>
    </w:p>
    <w:p>
      <w:r>
        <w:t>ChromaDB serves as the localized vector database, paired with Google Gemini text embeddings for dense semantic search.</w:t>
      </w:r>
    </w:p>
    <w:p>
      <w:r>
        <w:t>For exact technical term retrieval, Okapi BM25 algorithm is utilized to catch sparse keywords.</w:t>
      </w:r>
    </w:p>
    <w:p>
      <w:r>
        <w:t>Reciprocal Rank Fusion with a rank constant k=60 balances semantic similarity against lexical keyword matching.</w:t>
      </w:r>
    </w:p>
    <w:p>
      <w:r>
        <w:t>Redis is integrated as an in-memory caching tier to achieve sub-50ms latency.</w:t>
      </w:r>
    </w:p>
    <w:p>
      <w:r>
        <w:t>The primary bottleneck observed during stress testing was database connection pool exhaustion under 10,000 concurrent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