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4D303" w14:textId="69959C21" w:rsidR="00CF6745" w:rsidRPr="00C13BD6" w:rsidRDefault="00B01BDF" w:rsidP="002C60CD">
      <w:pPr>
        <w:pStyle w:val="FirstParagraph"/>
        <w:jc w:val="center"/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KERIM B. KAYLAN, M.D., PH.D.</w:t>
      </w:r>
    </w:p>
    <w:p w14:paraId="6B644275" w14:textId="77777777" w:rsidR="00A67213" w:rsidRPr="00C13BD6" w:rsidRDefault="00B6590A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The University of Chicago</w:t>
      </w:r>
    </w:p>
    <w:p w14:paraId="222649D3" w14:textId="77777777" w:rsidR="00A67213" w:rsidRPr="00C13BD6" w:rsidRDefault="00B6590A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Department of Medicine</w:t>
      </w:r>
    </w:p>
    <w:p w14:paraId="57031A1A" w14:textId="77777777" w:rsidR="00A67213" w:rsidRPr="00C13BD6" w:rsidRDefault="00B6590A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Section of Endocrinology, Diabetes, and Metabolism</w:t>
      </w:r>
    </w:p>
    <w:p w14:paraId="20FE21DA" w14:textId="77777777" w:rsidR="00A67213" w:rsidRPr="00C13BD6" w:rsidRDefault="00D11CBC" w:rsidP="005556BD">
      <w:pPr>
        <w:pStyle w:val="BodyText"/>
        <w:spacing w:before="240"/>
        <w:rPr>
          <w:rFonts w:cs="Arial"/>
          <w:szCs w:val="22"/>
        </w:rPr>
      </w:pPr>
      <w:r w:rsidRPr="00C13BD6">
        <w:rPr>
          <w:rFonts w:cs="Arial"/>
          <w:szCs w:val="22"/>
        </w:rPr>
        <w:t>5841 S. Maryland Ave.</w:t>
      </w:r>
    </w:p>
    <w:p w14:paraId="20D3C40E" w14:textId="63E67951" w:rsidR="00A67213" w:rsidRPr="00C13BD6" w:rsidRDefault="00D11CBC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Rm. M-267,</w:t>
      </w:r>
      <w:r w:rsidR="00702D56" w:rsidRPr="00C13BD6">
        <w:rPr>
          <w:rFonts w:cs="Arial"/>
          <w:szCs w:val="22"/>
        </w:rPr>
        <w:t xml:space="preserve"> </w:t>
      </w:r>
      <w:r w:rsidRPr="00C13BD6">
        <w:rPr>
          <w:rFonts w:cs="Arial"/>
          <w:szCs w:val="22"/>
        </w:rPr>
        <w:t>M</w:t>
      </w:r>
      <w:r w:rsidR="00A805AB" w:rsidRPr="00C13BD6">
        <w:rPr>
          <w:rFonts w:cs="Arial"/>
          <w:szCs w:val="22"/>
        </w:rPr>
        <w:t>/</w:t>
      </w:r>
      <w:r w:rsidRPr="00C13BD6">
        <w:rPr>
          <w:rFonts w:cs="Arial"/>
          <w:szCs w:val="22"/>
        </w:rPr>
        <w:t>C</w:t>
      </w:r>
      <w:r w:rsidR="00A805AB" w:rsidRPr="00C13BD6">
        <w:rPr>
          <w:rFonts w:cs="Arial"/>
          <w:szCs w:val="22"/>
        </w:rPr>
        <w:t xml:space="preserve"> </w:t>
      </w:r>
      <w:r w:rsidRPr="00C13BD6">
        <w:rPr>
          <w:rFonts w:cs="Arial"/>
          <w:szCs w:val="22"/>
        </w:rPr>
        <w:t>1027</w:t>
      </w:r>
    </w:p>
    <w:p w14:paraId="5B93073B" w14:textId="5D019591" w:rsidR="000E6EC6" w:rsidRPr="00C13BD6" w:rsidRDefault="00D11CBC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Chicago, IL 60637</w:t>
      </w:r>
    </w:p>
    <w:p w14:paraId="5E9772E5" w14:textId="4454E0F8" w:rsidR="00C2430A" w:rsidRDefault="00B6590A" w:rsidP="00A37265">
      <w:pPr>
        <w:pStyle w:val="BodyText"/>
        <w:spacing w:before="240"/>
        <w:rPr>
          <w:rFonts w:cs="Arial"/>
          <w:szCs w:val="22"/>
        </w:rPr>
      </w:pPr>
      <w:r w:rsidRPr="00C13BD6">
        <w:rPr>
          <w:rFonts w:cs="Arial"/>
          <w:szCs w:val="22"/>
        </w:rPr>
        <w:t>Office: (773</w:t>
      </w:r>
      <w:r w:rsidR="006341E6" w:rsidRPr="00C13BD6">
        <w:rPr>
          <w:rFonts w:cs="Arial"/>
          <w:szCs w:val="22"/>
        </w:rPr>
        <w:t xml:space="preserve">) </w:t>
      </w:r>
      <w:r w:rsidRPr="00C13BD6">
        <w:rPr>
          <w:rFonts w:cs="Arial"/>
          <w:szCs w:val="22"/>
        </w:rPr>
        <w:t>7</w:t>
      </w:r>
      <w:r w:rsidR="00650E64" w:rsidRPr="00C13BD6">
        <w:rPr>
          <w:rFonts w:cs="Arial"/>
          <w:szCs w:val="22"/>
        </w:rPr>
        <w:t>95</w:t>
      </w:r>
      <w:r w:rsidRPr="00C13BD6">
        <w:rPr>
          <w:rFonts w:cs="Arial"/>
          <w:szCs w:val="22"/>
        </w:rPr>
        <w:t>-</w:t>
      </w:r>
      <w:r w:rsidR="00B01BDF" w:rsidRPr="00C13BD6">
        <w:rPr>
          <w:rFonts w:cs="Arial"/>
          <w:szCs w:val="22"/>
        </w:rPr>
        <w:t>0605</w:t>
      </w:r>
    </w:p>
    <w:p w14:paraId="18DB5A32" w14:textId="2CC9FF10" w:rsidR="00A67213" w:rsidRPr="00C13BD6" w:rsidRDefault="00B6590A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Fax: </w:t>
      </w:r>
      <w:r w:rsidR="00B01BDF" w:rsidRPr="00C13BD6">
        <w:rPr>
          <w:rFonts w:cs="Arial"/>
          <w:szCs w:val="22"/>
        </w:rPr>
        <w:t>(773) 834-7205</w:t>
      </w:r>
    </w:p>
    <w:p w14:paraId="2CFC4D6C" w14:textId="77777777" w:rsidR="00A67213" w:rsidRPr="00C13BD6" w:rsidRDefault="00B6590A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Email: </w:t>
      </w:r>
      <w:hyperlink r:id="rId5" w:history="1">
        <w:r w:rsidR="00D11CBC" w:rsidRPr="00C13BD6">
          <w:rPr>
            <w:rStyle w:val="Hyperlink"/>
            <w:rFonts w:cs="Arial"/>
            <w:color w:val="auto"/>
            <w:szCs w:val="22"/>
          </w:rPr>
          <w:t>kerim.kaylan@uchicagomedicine.org</w:t>
        </w:r>
      </w:hyperlink>
    </w:p>
    <w:p w14:paraId="7114D306" w14:textId="4B31F951" w:rsidR="00CF6745" w:rsidRPr="00C13BD6" w:rsidRDefault="00E94C36" w:rsidP="000E6EC6">
      <w:pPr>
        <w:pStyle w:val="Heading1"/>
        <w:rPr>
          <w:rFonts w:cs="Arial"/>
          <w:b w:val="0"/>
          <w:szCs w:val="22"/>
        </w:rPr>
      </w:pPr>
      <w:r w:rsidRPr="00C13BD6">
        <w:rPr>
          <w:rFonts w:cs="Arial"/>
          <w:szCs w:val="22"/>
        </w:rPr>
        <w:t>ACADEMIC TRAINING</w:t>
      </w:r>
    </w:p>
    <w:tbl>
      <w:tblPr>
        <w:tblStyle w:val="PlainTable4"/>
        <w:tblW w:w="0" w:type="auto"/>
        <w:tblLayout w:type="fixed"/>
        <w:tblLook w:val="0600" w:firstRow="0" w:lastRow="0" w:firstColumn="0" w:lastColumn="0" w:noHBand="1" w:noVBand="1"/>
      </w:tblPr>
      <w:tblGrid>
        <w:gridCol w:w="1800"/>
        <w:gridCol w:w="7938"/>
      </w:tblGrid>
      <w:tr w:rsidR="004B396B" w:rsidRPr="00C13BD6" w14:paraId="0431F4B8" w14:textId="77777777" w:rsidTr="004B396B">
        <w:tc>
          <w:tcPr>
            <w:tcW w:w="1800" w:type="dxa"/>
          </w:tcPr>
          <w:p w14:paraId="1FE127C1" w14:textId="0B85D98A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Hlk208496545"/>
            <w:r w:rsidRPr="00C13BD6">
              <w:rPr>
                <w:rFonts w:ascii="Arial" w:hAnsi="Arial" w:cs="Arial"/>
                <w:sz w:val="22"/>
                <w:szCs w:val="22"/>
              </w:rPr>
              <w:t>2012</w:t>
            </w:r>
          </w:p>
        </w:tc>
        <w:tc>
          <w:tcPr>
            <w:tcW w:w="7938" w:type="dxa"/>
          </w:tcPr>
          <w:p w14:paraId="1BBEDD06" w14:textId="28F73A6E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B.S.E., Biomedical Engineering, University of Michigan, Ann Arbor, MI.</w:t>
            </w:r>
          </w:p>
        </w:tc>
      </w:tr>
      <w:tr w:rsidR="004B396B" w:rsidRPr="00C13BD6" w14:paraId="71D65510" w14:textId="77777777" w:rsidTr="004B396B">
        <w:tc>
          <w:tcPr>
            <w:tcW w:w="1800" w:type="dxa"/>
          </w:tcPr>
          <w:p w14:paraId="6741C8E9" w14:textId="468A49A3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2016</w:t>
            </w:r>
          </w:p>
        </w:tc>
        <w:tc>
          <w:tcPr>
            <w:tcW w:w="7938" w:type="dxa"/>
          </w:tcPr>
          <w:p w14:paraId="61C586EE" w14:textId="4237D199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M.S., Bioengineering, University of Illinois at Urbana–Champaign, Urbana, IL.</w:t>
            </w:r>
          </w:p>
        </w:tc>
      </w:tr>
      <w:tr w:rsidR="004B396B" w:rsidRPr="00C13BD6" w14:paraId="0C306260" w14:textId="77777777" w:rsidTr="004B396B">
        <w:tc>
          <w:tcPr>
            <w:tcW w:w="1800" w:type="dxa"/>
          </w:tcPr>
          <w:p w14:paraId="78C9B9F0" w14:textId="373AA304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2017</w:t>
            </w:r>
          </w:p>
        </w:tc>
        <w:tc>
          <w:tcPr>
            <w:tcW w:w="7938" w:type="dxa"/>
          </w:tcPr>
          <w:p w14:paraId="6DEF30CF" w14:textId="5F8C9563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Ph.D., Bioengineering, University of Illinois at Urbana–Champaign, Urbana, IL.</w:t>
            </w:r>
          </w:p>
        </w:tc>
      </w:tr>
      <w:tr w:rsidR="004B396B" w:rsidRPr="00C13BD6" w14:paraId="41119EB1" w14:textId="77777777" w:rsidTr="004B396B">
        <w:tc>
          <w:tcPr>
            <w:tcW w:w="1800" w:type="dxa"/>
          </w:tcPr>
          <w:p w14:paraId="49E72A11" w14:textId="5C01C6BD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  <w:tc>
          <w:tcPr>
            <w:tcW w:w="7938" w:type="dxa"/>
          </w:tcPr>
          <w:p w14:paraId="4445B3DB" w14:textId="4B3223B7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M.D., University of Illinois College of Medicine, Chicago, IL.</w:t>
            </w:r>
          </w:p>
        </w:tc>
      </w:tr>
      <w:tr w:rsidR="004B396B" w:rsidRPr="00C13BD6" w14:paraId="05841360" w14:textId="77777777" w:rsidTr="004B396B">
        <w:tc>
          <w:tcPr>
            <w:tcW w:w="1800" w:type="dxa"/>
          </w:tcPr>
          <w:p w14:paraId="12CAD2CA" w14:textId="36E800F3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2021–2023</w:t>
            </w:r>
          </w:p>
        </w:tc>
        <w:tc>
          <w:tcPr>
            <w:tcW w:w="7938" w:type="dxa"/>
          </w:tcPr>
          <w:p w14:paraId="0A0539B9" w14:textId="7D793128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Internal Medicine Residency Program, Department of Medicine, University of Chicago, Chicago, IL.</w:t>
            </w:r>
          </w:p>
        </w:tc>
      </w:tr>
      <w:tr w:rsidR="004B396B" w:rsidRPr="00C13BD6" w14:paraId="3C1574CC" w14:textId="77777777" w:rsidTr="004B396B">
        <w:tc>
          <w:tcPr>
            <w:tcW w:w="1800" w:type="dxa"/>
          </w:tcPr>
          <w:p w14:paraId="46D5FC66" w14:textId="1E2E974B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2021–present</w:t>
            </w:r>
          </w:p>
        </w:tc>
        <w:tc>
          <w:tcPr>
            <w:tcW w:w="7938" w:type="dxa"/>
          </w:tcPr>
          <w:p w14:paraId="1A409EB6" w14:textId="7C6EE246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Physician Scientist Development Program, Department of Medicine, University of Chicago, Chicago, IL.</w:t>
            </w:r>
          </w:p>
        </w:tc>
      </w:tr>
      <w:tr w:rsidR="004B396B" w:rsidRPr="00C13BD6" w14:paraId="6E0548F2" w14:textId="77777777" w:rsidTr="004B396B">
        <w:tc>
          <w:tcPr>
            <w:tcW w:w="1800" w:type="dxa"/>
          </w:tcPr>
          <w:p w14:paraId="471FACF6" w14:textId="5BCC5C9B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2023–2025</w:t>
            </w:r>
          </w:p>
        </w:tc>
        <w:tc>
          <w:tcPr>
            <w:tcW w:w="7938" w:type="dxa"/>
          </w:tcPr>
          <w:p w14:paraId="253B4651" w14:textId="4A098757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Endocrinology Fellowship Program, Section of Endocrinology, Diabetes, and Metabolism, Department of Medicine, University of Chicago, Chicago, IL.</w:t>
            </w:r>
          </w:p>
        </w:tc>
      </w:tr>
      <w:tr w:rsidR="004B396B" w:rsidRPr="00C13BD6" w14:paraId="056EAC0D" w14:textId="77777777" w:rsidTr="004B396B">
        <w:tc>
          <w:tcPr>
            <w:tcW w:w="1800" w:type="dxa"/>
          </w:tcPr>
          <w:p w14:paraId="7BC673FC" w14:textId="3B315538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2024–</w:t>
            </w:r>
            <w:r w:rsidR="008B1248" w:rsidRPr="00C13BD6">
              <w:rPr>
                <w:rFonts w:ascii="Arial" w:hAnsi="Arial" w:cs="Arial"/>
                <w:sz w:val="22"/>
                <w:szCs w:val="22"/>
              </w:rPr>
              <w:t>2025</w:t>
            </w:r>
          </w:p>
        </w:tc>
        <w:tc>
          <w:tcPr>
            <w:tcW w:w="7938" w:type="dxa"/>
          </w:tcPr>
          <w:p w14:paraId="075C928C" w14:textId="4BF96731" w:rsidR="004B396B" w:rsidRPr="00C13BD6" w:rsidRDefault="008B1248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T32 P</w:t>
            </w:r>
            <w:r w:rsidR="004B396B" w:rsidRPr="00C13BD6">
              <w:rPr>
                <w:rFonts w:ascii="Arial" w:hAnsi="Arial" w:cs="Arial"/>
                <w:sz w:val="22"/>
                <w:szCs w:val="22"/>
              </w:rPr>
              <w:t>ostdoctoral Fellow, Mirmira Laboratory, Section of Endocrinology, Diabetes, and Metabolism, Department of Medicine, University of Chicago, Chicago, IL.</w:t>
            </w:r>
          </w:p>
        </w:tc>
      </w:tr>
      <w:tr w:rsidR="004B396B" w:rsidRPr="00C13BD6" w14:paraId="7D80B1B6" w14:textId="77777777" w:rsidTr="004B396B">
        <w:tc>
          <w:tcPr>
            <w:tcW w:w="1800" w:type="dxa"/>
          </w:tcPr>
          <w:p w14:paraId="208D1D66" w14:textId="4D2E8921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2025–present</w:t>
            </w:r>
          </w:p>
        </w:tc>
        <w:tc>
          <w:tcPr>
            <w:tcW w:w="7938" w:type="dxa"/>
          </w:tcPr>
          <w:p w14:paraId="60AD902B" w14:textId="0D4F9421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Advanced Endocrinology Fellowship, Section of Endocrinology, Diabetes, and Metabolism, Department of Medicine, University of Chicago, Chicago, IL.</w:t>
            </w:r>
          </w:p>
        </w:tc>
      </w:tr>
    </w:tbl>
    <w:bookmarkEnd w:id="0"/>
    <w:p w14:paraId="7114D311" w14:textId="55A0E7FD" w:rsidR="00CF6745" w:rsidRPr="00C13BD6" w:rsidRDefault="00616E2B" w:rsidP="000E6EC6">
      <w:pPr>
        <w:pStyle w:val="Heading1"/>
        <w:rPr>
          <w:rFonts w:cs="Arial"/>
          <w:szCs w:val="22"/>
        </w:rPr>
      </w:pPr>
      <w:r w:rsidRPr="00C13BD6">
        <w:rPr>
          <w:rFonts w:cs="Arial"/>
          <w:szCs w:val="22"/>
        </w:rPr>
        <w:t>BOARD CERTIFICATION AND LICENSURE</w:t>
      </w:r>
    </w:p>
    <w:tbl>
      <w:tblPr>
        <w:tblStyle w:val="PlainTable3"/>
        <w:tblW w:w="0" w:type="auto"/>
        <w:tblLayout w:type="fixed"/>
        <w:tblLook w:val="0600" w:firstRow="0" w:lastRow="0" w:firstColumn="0" w:lastColumn="0" w:noHBand="1" w:noVBand="1"/>
      </w:tblPr>
      <w:tblGrid>
        <w:gridCol w:w="1800"/>
        <w:gridCol w:w="7934"/>
      </w:tblGrid>
      <w:tr w:rsidR="004B396B" w:rsidRPr="00C13BD6" w14:paraId="23501AC6" w14:textId="77777777" w:rsidTr="00A37265">
        <w:tc>
          <w:tcPr>
            <w:tcW w:w="1800" w:type="dxa"/>
          </w:tcPr>
          <w:p w14:paraId="26E7938B" w14:textId="531FE88F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7934" w:type="dxa"/>
          </w:tcPr>
          <w:p w14:paraId="1D13FFFC" w14:textId="6F3CE75A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USMLE Step 1 (passed)</w:t>
            </w:r>
            <w:r w:rsidR="0058527A" w:rsidRPr="00C13BD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B396B" w:rsidRPr="00C13BD6" w14:paraId="0ABF7AC6" w14:textId="77777777" w:rsidTr="00A37265">
        <w:tc>
          <w:tcPr>
            <w:tcW w:w="1800" w:type="dxa"/>
          </w:tcPr>
          <w:p w14:paraId="211A66FB" w14:textId="6ED5C2C9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7934" w:type="dxa"/>
          </w:tcPr>
          <w:p w14:paraId="0CED681B" w14:textId="0E844941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USMLE Step 2 CK (passed)</w:t>
            </w:r>
            <w:r w:rsidR="0058527A" w:rsidRPr="00C13BD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B396B" w:rsidRPr="00C13BD6" w14:paraId="2FFECFBF" w14:textId="77777777" w:rsidTr="00A37265">
        <w:tc>
          <w:tcPr>
            <w:tcW w:w="1800" w:type="dxa"/>
          </w:tcPr>
          <w:p w14:paraId="5A7060A7" w14:textId="5D749359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  <w:tc>
          <w:tcPr>
            <w:tcW w:w="7934" w:type="dxa"/>
          </w:tcPr>
          <w:p w14:paraId="2438BEDC" w14:textId="03FB0920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USMLE Step 2 CS (waived due to COVID-19)</w:t>
            </w:r>
            <w:r w:rsidR="0058527A" w:rsidRPr="00C13BD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B396B" w:rsidRPr="00C13BD6" w14:paraId="257BA655" w14:textId="77777777" w:rsidTr="00A37265">
        <w:tc>
          <w:tcPr>
            <w:tcW w:w="1800" w:type="dxa"/>
          </w:tcPr>
          <w:p w14:paraId="3FB8B632" w14:textId="13A8D270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2021–2024</w:t>
            </w:r>
          </w:p>
        </w:tc>
        <w:tc>
          <w:tcPr>
            <w:tcW w:w="7934" w:type="dxa"/>
          </w:tcPr>
          <w:p w14:paraId="2C326C90" w14:textId="5099C12E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Temporary Medical Permit, State of Illinois</w:t>
            </w:r>
            <w:r w:rsidR="0058527A" w:rsidRPr="00C13BD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B396B" w:rsidRPr="00C13BD6" w14:paraId="5C9F7CA8" w14:textId="77777777" w:rsidTr="00A37265">
        <w:tc>
          <w:tcPr>
            <w:tcW w:w="1800" w:type="dxa"/>
          </w:tcPr>
          <w:p w14:paraId="05B92D91" w14:textId="6D7E0F0C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2022</w:t>
            </w:r>
          </w:p>
        </w:tc>
        <w:tc>
          <w:tcPr>
            <w:tcW w:w="7934" w:type="dxa"/>
          </w:tcPr>
          <w:p w14:paraId="2C15D52A" w14:textId="3594D029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USMLE Step 3 (passed)</w:t>
            </w:r>
            <w:r w:rsidR="0058527A" w:rsidRPr="00C13BD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B396B" w:rsidRPr="00C13BD6" w14:paraId="196D024C" w14:textId="77777777" w:rsidTr="00A37265">
        <w:tc>
          <w:tcPr>
            <w:tcW w:w="1800" w:type="dxa"/>
          </w:tcPr>
          <w:p w14:paraId="7E0E6F66" w14:textId="05FDE53F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2024–present</w:t>
            </w:r>
          </w:p>
        </w:tc>
        <w:tc>
          <w:tcPr>
            <w:tcW w:w="7934" w:type="dxa"/>
          </w:tcPr>
          <w:p w14:paraId="0AD49BE3" w14:textId="2902958E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Licensed Physician and Surgeon, State of Illinois</w:t>
            </w:r>
            <w:r w:rsidR="0058527A" w:rsidRPr="00C13BD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B396B" w:rsidRPr="00C13BD6" w14:paraId="2BBC8CB2" w14:textId="77777777" w:rsidTr="00A37265">
        <w:tc>
          <w:tcPr>
            <w:tcW w:w="1800" w:type="dxa"/>
          </w:tcPr>
          <w:p w14:paraId="1F7CF119" w14:textId="7B6E438E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2024–present</w:t>
            </w:r>
          </w:p>
        </w:tc>
        <w:tc>
          <w:tcPr>
            <w:tcW w:w="7934" w:type="dxa"/>
          </w:tcPr>
          <w:p w14:paraId="173A1ECE" w14:textId="63302833" w:rsidR="004B396B" w:rsidRPr="00C13BD6" w:rsidRDefault="004B396B" w:rsidP="004B396B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ABIM Internal Medicine Certification</w:t>
            </w:r>
            <w:r w:rsidR="0058527A" w:rsidRPr="00C13BD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114D319" w14:textId="5E73E5ED" w:rsidR="00CF6745" w:rsidRPr="00C13BD6" w:rsidRDefault="00616E2B" w:rsidP="000E6EC6">
      <w:pPr>
        <w:pStyle w:val="Heading1"/>
        <w:rPr>
          <w:rFonts w:cs="Arial"/>
          <w:szCs w:val="22"/>
        </w:rPr>
      </w:pPr>
      <w:r w:rsidRPr="00C13BD6">
        <w:rPr>
          <w:rFonts w:cs="Arial"/>
          <w:szCs w:val="22"/>
        </w:rPr>
        <w:t>FUNDING</w:t>
      </w:r>
    </w:p>
    <w:p w14:paraId="7114D31A" w14:textId="77777777" w:rsidR="00CF6745" w:rsidRPr="00C13BD6" w:rsidRDefault="00616E2B" w:rsidP="000E6EC6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(a) Past:</w:t>
      </w:r>
    </w:p>
    <w:p w14:paraId="7114D31B" w14:textId="409AD2BD" w:rsidR="00CF6745" w:rsidRPr="00C13BD6" w:rsidRDefault="00616E2B" w:rsidP="005F3A81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13BD6">
        <w:rPr>
          <w:rFonts w:ascii="Arial" w:hAnsi="Arial" w:cs="Arial"/>
          <w:sz w:val="22"/>
          <w:szCs w:val="22"/>
        </w:rPr>
        <w:t>Summer Biomedical and Life Science Fellowship, University of Michigan Undergraduate Research Opportunity Progra</w:t>
      </w:r>
      <w:r w:rsidR="00143C31" w:rsidRPr="00C13BD6">
        <w:rPr>
          <w:rFonts w:ascii="Arial" w:hAnsi="Arial" w:cs="Arial"/>
          <w:sz w:val="22"/>
          <w:szCs w:val="22"/>
        </w:rPr>
        <w:t>m</w:t>
      </w:r>
      <w:r w:rsidRPr="00C13BD6">
        <w:rPr>
          <w:rFonts w:ascii="Arial" w:hAnsi="Arial" w:cs="Arial"/>
          <w:sz w:val="22"/>
          <w:szCs w:val="22"/>
        </w:rPr>
        <w:t xml:space="preserve">. My role: </w:t>
      </w:r>
      <w:r w:rsidR="00BC13F6" w:rsidRPr="00C13BD6">
        <w:rPr>
          <w:rFonts w:ascii="Arial" w:hAnsi="Arial" w:cs="Arial"/>
          <w:sz w:val="22"/>
          <w:szCs w:val="22"/>
        </w:rPr>
        <w:t>trainee</w:t>
      </w:r>
      <w:r w:rsidRPr="00C13BD6">
        <w:rPr>
          <w:rFonts w:ascii="Arial" w:hAnsi="Arial" w:cs="Arial"/>
          <w:sz w:val="22"/>
          <w:szCs w:val="22"/>
        </w:rPr>
        <w:t>. Title: “</w:t>
      </w:r>
      <w:r w:rsidR="005F3A81" w:rsidRPr="00C13BD6">
        <w:rPr>
          <w:rFonts w:ascii="Arial" w:hAnsi="Arial" w:cs="Arial"/>
          <w:sz w:val="22"/>
          <w:szCs w:val="22"/>
        </w:rPr>
        <w:t>Patterning of Aqueous Two-Phase Systems of Dextran and Polyethylene Glycol for the Study of Cell Migration</w:t>
      </w:r>
      <w:r w:rsidRPr="00C13BD6">
        <w:rPr>
          <w:rFonts w:ascii="Arial" w:hAnsi="Arial" w:cs="Arial"/>
          <w:sz w:val="22"/>
          <w:szCs w:val="22"/>
        </w:rPr>
        <w:t>.</w:t>
      </w:r>
      <w:r w:rsidR="00934F87" w:rsidRPr="00C13BD6">
        <w:rPr>
          <w:rFonts w:ascii="Arial" w:hAnsi="Arial" w:cs="Arial"/>
          <w:sz w:val="22"/>
          <w:szCs w:val="22"/>
        </w:rPr>
        <w:t>”</w:t>
      </w:r>
      <w:r w:rsidRPr="00C13BD6">
        <w:rPr>
          <w:rFonts w:ascii="Arial" w:hAnsi="Arial" w:cs="Arial"/>
          <w:sz w:val="22"/>
          <w:szCs w:val="22"/>
        </w:rPr>
        <w:t xml:space="preserve"> Project period: 2010. Supported research with Prof. Shuichi Takayama.</w:t>
      </w:r>
    </w:p>
    <w:p w14:paraId="7114D31C" w14:textId="768E60B0" w:rsidR="00CF6745" w:rsidRPr="00C13BD6" w:rsidRDefault="00616E2B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13BD6">
        <w:rPr>
          <w:rFonts w:ascii="Arial" w:hAnsi="Arial" w:cs="Arial"/>
          <w:sz w:val="22"/>
          <w:szCs w:val="22"/>
        </w:rPr>
        <w:t xml:space="preserve">NSF I-Corps, University of Illinois at Urbana–Champaign Site Cohort 11, </w:t>
      </w:r>
      <w:r w:rsidR="00143C31" w:rsidRPr="00C13BD6">
        <w:rPr>
          <w:rFonts w:ascii="Arial" w:hAnsi="Arial" w:cs="Arial"/>
          <w:sz w:val="22"/>
          <w:szCs w:val="22"/>
        </w:rPr>
        <w:t xml:space="preserve">Total direct costs: </w:t>
      </w:r>
      <w:r w:rsidRPr="00C13BD6">
        <w:rPr>
          <w:rFonts w:ascii="Arial" w:hAnsi="Arial" w:cs="Arial"/>
          <w:sz w:val="22"/>
          <w:szCs w:val="22"/>
        </w:rPr>
        <w:t xml:space="preserve">$2,000. My role: </w:t>
      </w:r>
      <w:r w:rsidR="00BC13F6" w:rsidRPr="00C13BD6">
        <w:rPr>
          <w:rFonts w:ascii="Arial" w:hAnsi="Arial" w:cs="Arial"/>
          <w:sz w:val="22"/>
          <w:szCs w:val="22"/>
        </w:rPr>
        <w:t>trainee</w:t>
      </w:r>
      <w:r w:rsidRPr="00C13BD6">
        <w:rPr>
          <w:rFonts w:ascii="Arial" w:hAnsi="Arial" w:cs="Arial"/>
          <w:sz w:val="22"/>
          <w:szCs w:val="22"/>
        </w:rPr>
        <w:t xml:space="preserve">. </w:t>
      </w:r>
      <w:r w:rsidR="00584880" w:rsidRPr="00C13BD6">
        <w:rPr>
          <w:rFonts w:ascii="Arial" w:hAnsi="Arial" w:cs="Arial"/>
          <w:sz w:val="22"/>
          <w:szCs w:val="22"/>
        </w:rPr>
        <w:t>Project</w:t>
      </w:r>
      <w:r w:rsidRPr="00C13BD6">
        <w:rPr>
          <w:rFonts w:ascii="Arial" w:hAnsi="Arial" w:cs="Arial"/>
          <w:sz w:val="22"/>
          <w:szCs w:val="22"/>
        </w:rPr>
        <w:t>: Use of lean methodologies to develop new, clinically-relevant technologies in liver tissue engineering. Project period: 2016.</w:t>
      </w:r>
    </w:p>
    <w:p w14:paraId="2DCB8B5F" w14:textId="3BF3C12F" w:rsidR="00AF0987" w:rsidRPr="00C13BD6" w:rsidRDefault="00AF0987" w:rsidP="00AF0987">
      <w:pPr>
        <w:pStyle w:val="Compact"/>
        <w:numPr>
          <w:ilvl w:val="0"/>
          <w:numId w:val="2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lastRenderedPageBreak/>
        <w:t xml:space="preserve">NIDDK T32: Integrated Clinical and Basic Endocrinology Research Training Grant, T32 DK007011, University of Chicago. </w:t>
      </w:r>
      <w:r w:rsidR="00BC13F6" w:rsidRPr="00C13BD6">
        <w:rPr>
          <w:rFonts w:cs="Arial"/>
          <w:szCs w:val="22"/>
        </w:rPr>
        <w:t xml:space="preserve">My role: trainee. </w:t>
      </w:r>
      <w:r w:rsidRPr="00C13BD6">
        <w:rPr>
          <w:rFonts w:cs="Arial"/>
          <w:szCs w:val="22"/>
        </w:rPr>
        <w:t>Supporting postdoctoral research with Prof. Raghavendra Mirmira. Project period: 7/2024–6/2025.</w:t>
      </w:r>
    </w:p>
    <w:p w14:paraId="7114D31E" w14:textId="77777777" w:rsidR="00CF6745" w:rsidRPr="00C13BD6" w:rsidRDefault="00616E2B" w:rsidP="000E6EC6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(b) Current:</w:t>
      </w:r>
    </w:p>
    <w:p w14:paraId="7114D31F" w14:textId="3C30433B" w:rsidR="00CF6745" w:rsidRPr="00C13BD6" w:rsidRDefault="00616E2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C13BD6">
        <w:rPr>
          <w:rFonts w:ascii="Arial" w:hAnsi="Arial" w:cs="Arial"/>
          <w:sz w:val="22"/>
          <w:szCs w:val="22"/>
        </w:rPr>
        <w:t>NIDDK K12 Diabetes Docs: Physician-Scientist Career Development Program (DiabDocs), K12 DK133995. Multi-</w:t>
      </w:r>
      <w:r w:rsidR="008644B1" w:rsidRPr="00C13BD6">
        <w:rPr>
          <w:rFonts w:ascii="Arial" w:hAnsi="Arial" w:cs="Arial"/>
          <w:sz w:val="22"/>
          <w:szCs w:val="22"/>
        </w:rPr>
        <w:t>C</w:t>
      </w:r>
      <w:r w:rsidRPr="00C13BD6">
        <w:rPr>
          <w:rFonts w:ascii="Arial" w:hAnsi="Arial" w:cs="Arial"/>
          <w:sz w:val="22"/>
          <w:szCs w:val="22"/>
        </w:rPr>
        <w:t xml:space="preserve">enter Program Directors: Profs. David Maahs (Stanford University) and Linda DiMeglio (Indiana University). My role: </w:t>
      </w:r>
      <w:r w:rsidR="00D81C8E" w:rsidRPr="00C13BD6">
        <w:rPr>
          <w:rFonts w:ascii="Arial" w:hAnsi="Arial" w:cs="Arial"/>
          <w:sz w:val="22"/>
          <w:szCs w:val="22"/>
        </w:rPr>
        <w:t>scholar</w:t>
      </w:r>
      <w:r w:rsidRPr="00C13BD6">
        <w:rPr>
          <w:rFonts w:ascii="Arial" w:hAnsi="Arial" w:cs="Arial"/>
          <w:sz w:val="22"/>
          <w:szCs w:val="22"/>
        </w:rPr>
        <w:t>. Title: “Viral nucleotide sensing by β-cell MDA5 in T1D”. Total direct costs: $150,000. Project period: 7/2025–6/2026.</w:t>
      </w:r>
    </w:p>
    <w:p w14:paraId="7114D320" w14:textId="75C952B2" w:rsidR="00CF6745" w:rsidRPr="00C13BD6" w:rsidRDefault="00616E2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C13BD6">
        <w:rPr>
          <w:rFonts w:ascii="Arial" w:hAnsi="Arial" w:cs="Arial"/>
          <w:sz w:val="22"/>
          <w:szCs w:val="22"/>
        </w:rPr>
        <w:t xml:space="preserve">Endocrine Fellows Foundation Research Grant Program, </w:t>
      </w:r>
      <w:r w:rsidR="00143C31" w:rsidRPr="00C13BD6">
        <w:rPr>
          <w:rFonts w:ascii="Arial" w:hAnsi="Arial" w:cs="Arial"/>
          <w:sz w:val="22"/>
          <w:szCs w:val="22"/>
        </w:rPr>
        <w:t xml:space="preserve">Total direct costs: </w:t>
      </w:r>
      <w:r w:rsidRPr="00C13BD6">
        <w:rPr>
          <w:rFonts w:ascii="Arial" w:hAnsi="Arial" w:cs="Arial"/>
          <w:sz w:val="22"/>
          <w:szCs w:val="22"/>
        </w:rPr>
        <w:t>$10,000. My role: PI. Title: “Viral nucleotide sensing by β-cell MDA5 in type 1 diabetes”. Project period: 6/2025–6/2026.</w:t>
      </w:r>
    </w:p>
    <w:p w14:paraId="7114D321" w14:textId="6018F7AB" w:rsidR="00CF6745" w:rsidRPr="00C13BD6" w:rsidRDefault="00616E2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C13BD6">
        <w:rPr>
          <w:rFonts w:ascii="Arial" w:hAnsi="Arial" w:cs="Arial"/>
          <w:sz w:val="22"/>
          <w:szCs w:val="22"/>
        </w:rPr>
        <w:t xml:space="preserve">Pollak Family Fellow, Kovler Diabetes Center, University of Chicago, </w:t>
      </w:r>
      <w:r w:rsidR="00143C31" w:rsidRPr="00C13BD6">
        <w:rPr>
          <w:rFonts w:ascii="Arial" w:hAnsi="Arial" w:cs="Arial"/>
          <w:sz w:val="22"/>
          <w:szCs w:val="22"/>
        </w:rPr>
        <w:t xml:space="preserve">Total direct costs: </w:t>
      </w:r>
      <w:r w:rsidRPr="00C13BD6">
        <w:rPr>
          <w:rFonts w:ascii="Arial" w:hAnsi="Arial" w:cs="Arial"/>
          <w:sz w:val="22"/>
          <w:szCs w:val="22"/>
        </w:rPr>
        <w:t xml:space="preserve">$200,000. My role: </w:t>
      </w:r>
      <w:r w:rsidR="00C24625" w:rsidRPr="00C13BD6">
        <w:rPr>
          <w:rFonts w:ascii="Arial" w:hAnsi="Arial" w:cs="Arial"/>
          <w:sz w:val="22"/>
          <w:szCs w:val="22"/>
        </w:rPr>
        <w:t>PI</w:t>
      </w:r>
      <w:r w:rsidRPr="00C13BD6">
        <w:rPr>
          <w:rFonts w:ascii="Arial" w:hAnsi="Arial" w:cs="Arial"/>
          <w:sz w:val="22"/>
          <w:szCs w:val="22"/>
        </w:rPr>
        <w:t>. Supporting research for an early career investigator in type 1 diabetes. Project period: 6/2025–6/2027.</w:t>
      </w:r>
    </w:p>
    <w:p w14:paraId="7114D322" w14:textId="40FC9F36" w:rsidR="00CF6745" w:rsidRPr="00C13BD6" w:rsidRDefault="00616E2B" w:rsidP="000E6EC6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(c) </w:t>
      </w:r>
      <w:r w:rsidR="00284880" w:rsidRPr="00C13BD6">
        <w:rPr>
          <w:rFonts w:cs="Arial"/>
          <w:szCs w:val="22"/>
        </w:rPr>
        <w:t>Pending:</w:t>
      </w:r>
    </w:p>
    <w:p w14:paraId="45A72FDB" w14:textId="414BFFF5" w:rsidR="004F65A3" w:rsidRDefault="004F65A3" w:rsidP="004F65A3">
      <w:pPr>
        <w:pStyle w:val="BodyText"/>
      </w:pPr>
      <w:r>
        <w:t>None.</w:t>
      </w:r>
    </w:p>
    <w:p w14:paraId="7114D324" w14:textId="7878998A" w:rsidR="00CF6745" w:rsidRPr="00C13BD6" w:rsidRDefault="00616E2B" w:rsidP="000E6EC6">
      <w:pPr>
        <w:pStyle w:val="Heading1"/>
        <w:rPr>
          <w:rFonts w:cs="Arial"/>
          <w:szCs w:val="22"/>
        </w:rPr>
      </w:pPr>
      <w:r w:rsidRPr="00C13BD6">
        <w:rPr>
          <w:rFonts w:cs="Arial"/>
          <w:szCs w:val="22"/>
        </w:rPr>
        <w:t>HONORS, PRIZES, AND AWARDS</w:t>
      </w: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1777"/>
        <w:gridCol w:w="7799"/>
      </w:tblGrid>
      <w:tr w:rsidR="0081736A" w:rsidRPr="00C13BD6" w14:paraId="574342EF" w14:textId="77777777" w:rsidTr="00A37265">
        <w:tc>
          <w:tcPr>
            <w:tcW w:w="1800" w:type="dxa"/>
          </w:tcPr>
          <w:p w14:paraId="037680D7" w14:textId="4A6BA56A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2008</w:t>
            </w:r>
          </w:p>
        </w:tc>
        <w:tc>
          <w:tcPr>
            <w:tcW w:w="7934" w:type="dxa"/>
          </w:tcPr>
          <w:p w14:paraId="74395A1F" w14:textId="1EB59E24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Michigan Promise Scholarship, State of Michigan, $1,000.</w:t>
            </w:r>
          </w:p>
        </w:tc>
      </w:tr>
      <w:tr w:rsidR="0081736A" w:rsidRPr="00C13BD6" w14:paraId="5284746C" w14:textId="77777777" w:rsidTr="00A37265">
        <w:tc>
          <w:tcPr>
            <w:tcW w:w="1800" w:type="dxa"/>
          </w:tcPr>
          <w:p w14:paraId="6534D7E3" w14:textId="3E7326EE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2008</w:t>
            </w:r>
          </w:p>
        </w:tc>
        <w:tc>
          <w:tcPr>
            <w:tcW w:w="7934" w:type="dxa"/>
          </w:tcPr>
          <w:p w14:paraId="374AFACE" w14:textId="62A94E2D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Michigan Competitive Scholarship, State of Michigan, $1,300.</w:t>
            </w:r>
          </w:p>
        </w:tc>
      </w:tr>
      <w:tr w:rsidR="0081736A" w:rsidRPr="00C13BD6" w14:paraId="547242DC" w14:textId="77777777" w:rsidTr="00A37265">
        <w:tc>
          <w:tcPr>
            <w:tcW w:w="1800" w:type="dxa"/>
          </w:tcPr>
          <w:p w14:paraId="7ABCA390" w14:textId="3E7BD308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2012</w:t>
            </w:r>
          </w:p>
        </w:tc>
        <w:tc>
          <w:tcPr>
            <w:tcW w:w="7934" w:type="dxa"/>
          </w:tcPr>
          <w:p w14:paraId="31DBB317" w14:textId="2F5B9CF8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Graduated magna cum laude, University of Michigan.</w:t>
            </w:r>
          </w:p>
        </w:tc>
      </w:tr>
      <w:tr w:rsidR="0081736A" w:rsidRPr="00C13BD6" w14:paraId="30BBEA83" w14:textId="77777777" w:rsidTr="00A37265">
        <w:tc>
          <w:tcPr>
            <w:tcW w:w="1800" w:type="dxa"/>
          </w:tcPr>
          <w:p w14:paraId="2573D492" w14:textId="34208081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  <w:tc>
          <w:tcPr>
            <w:tcW w:w="7934" w:type="dxa"/>
          </w:tcPr>
          <w:p w14:paraId="67AE9CA2" w14:textId="41097825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Tau Beta Pi</w:t>
            </w:r>
            <w:r w:rsidR="007B5419" w:rsidRPr="00C13BD6">
              <w:rPr>
                <w:rFonts w:ascii="Arial" w:hAnsi="Arial" w:cs="Arial"/>
                <w:sz w:val="22"/>
                <w:szCs w:val="22"/>
              </w:rPr>
              <w:t>—</w:t>
            </w:r>
            <w:r w:rsidRPr="00C13BD6">
              <w:rPr>
                <w:rFonts w:ascii="Arial" w:hAnsi="Arial" w:cs="Arial"/>
                <w:sz w:val="22"/>
                <w:szCs w:val="22"/>
              </w:rPr>
              <w:t>Illinois Alpha, Grainger College of Engineering, University of Illinois at Urbana–Champaign.</w:t>
            </w:r>
          </w:p>
        </w:tc>
      </w:tr>
      <w:tr w:rsidR="0081736A" w:rsidRPr="00C13BD6" w14:paraId="6DC10FF4" w14:textId="77777777" w:rsidTr="00A37265">
        <w:tc>
          <w:tcPr>
            <w:tcW w:w="1800" w:type="dxa"/>
          </w:tcPr>
          <w:p w14:paraId="623528C3" w14:textId="228DF695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  <w:tc>
          <w:tcPr>
            <w:tcW w:w="7934" w:type="dxa"/>
          </w:tcPr>
          <w:p w14:paraId="2C69B13C" w14:textId="3B397E08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O’Morchoe Leadership Fellowship, University of Illinois College of Medicine, $1,500.</w:t>
            </w:r>
          </w:p>
        </w:tc>
      </w:tr>
      <w:tr w:rsidR="0081736A" w:rsidRPr="00C13BD6" w14:paraId="72EA485B" w14:textId="77777777" w:rsidTr="00A37265">
        <w:tc>
          <w:tcPr>
            <w:tcW w:w="1800" w:type="dxa"/>
          </w:tcPr>
          <w:p w14:paraId="47B468C9" w14:textId="20E6B396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2016</w:t>
            </w:r>
          </w:p>
        </w:tc>
        <w:tc>
          <w:tcPr>
            <w:tcW w:w="7934" w:type="dxa"/>
          </w:tcPr>
          <w:p w14:paraId="6F24D41D" w14:textId="4D8443F4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Teacher Ranked as Excellent, Cell and Tissue Biology, University of Illinois College of Medicine. Outstanding; top 10% of teaching assistants ranked by students in Fall 2016 semester.</w:t>
            </w:r>
          </w:p>
        </w:tc>
      </w:tr>
      <w:tr w:rsidR="0081736A" w:rsidRPr="00C13BD6" w14:paraId="1D60220B" w14:textId="77777777" w:rsidTr="00A37265">
        <w:tc>
          <w:tcPr>
            <w:tcW w:w="1800" w:type="dxa"/>
          </w:tcPr>
          <w:p w14:paraId="16948C6D" w14:textId="0C06C143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2017</w:t>
            </w:r>
          </w:p>
        </w:tc>
        <w:tc>
          <w:tcPr>
            <w:tcW w:w="7934" w:type="dxa"/>
          </w:tcPr>
          <w:p w14:paraId="5BDBE153" w14:textId="7A30E2D4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Teacher Ranked as Excellent, Cell and Tissue Biology, University of Illinois College of Medicine. Top 25% of teaching assistants ranked by students in Spring 2017 semester.</w:t>
            </w:r>
          </w:p>
        </w:tc>
      </w:tr>
      <w:tr w:rsidR="0081736A" w:rsidRPr="00C13BD6" w14:paraId="3EA3A8DE" w14:textId="77777777" w:rsidTr="00A37265">
        <w:tc>
          <w:tcPr>
            <w:tcW w:w="1800" w:type="dxa"/>
          </w:tcPr>
          <w:p w14:paraId="4E9A7CA1" w14:textId="27922391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  <w:tc>
          <w:tcPr>
            <w:tcW w:w="7934" w:type="dxa"/>
          </w:tcPr>
          <w:p w14:paraId="17AC0E0C" w14:textId="2C6B4021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Chancellor’s Student Service Award, University of Illinois at Chicago. Honors students who have made an outstanding contribution to the university through service to campus and community.</w:t>
            </w:r>
          </w:p>
        </w:tc>
      </w:tr>
      <w:tr w:rsidR="0081736A" w:rsidRPr="00C13BD6" w14:paraId="338492B4" w14:textId="77777777" w:rsidTr="00A37265">
        <w:tc>
          <w:tcPr>
            <w:tcW w:w="1800" w:type="dxa"/>
          </w:tcPr>
          <w:p w14:paraId="7F35EAF8" w14:textId="7FFCE3BF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2024</w:t>
            </w:r>
          </w:p>
        </w:tc>
        <w:tc>
          <w:tcPr>
            <w:tcW w:w="7934" w:type="dxa"/>
          </w:tcPr>
          <w:p w14:paraId="52842B79" w14:textId="23BA06DB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Early Career Forum Travel Award, Endocrine Society, $400.</w:t>
            </w:r>
          </w:p>
        </w:tc>
      </w:tr>
      <w:tr w:rsidR="0081736A" w:rsidRPr="00C13BD6" w14:paraId="2902CA6D" w14:textId="77777777" w:rsidTr="00A37265">
        <w:tc>
          <w:tcPr>
            <w:tcW w:w="1800" w:type="dxa"/>
          </w:tcPr>
          <w:p w14:paraId="3ECF59E0" w14:textId="6B1C73B0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2025</w:t>
            </w:r>
          </w:p>
        </w:tc>
        <w:tc>
          <w:tcPr>
            <w:tcW w:w="7934" w:type="dxa"/>
          </w:tcPr>
          <w:p w14:paraId="33B7B0B4" w14:textId="3D8F1AB4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American Diabetes Association Scholars Award, American Diabetes Association. Career development program for early-career professionals who treat or research diabetes and its complications.</w:t>
            </w:r>
          </w:p>
        </w:tc>
      </w:tr>
      <w:tr w:rsidR="0081736A" w:rsidRPr="00C13BD6" w14:paraId="7CB87D4B" w14:textId="77777777" w:rsidTr="00A37265">
        <w:tc>
          <w:tcPr>
            <w:tcW w:w="1800" w:type="dxa"/>
          </w:tcPr>
          <w:p w14:paraId="5AF520C3" w14:textId="4CAB8E9F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2025</w:t>
            </w:r>
          </w:p>
        </w:tc>
        <w:tc>
          <w:tcPr>
            <w:tcW w:w="7934" w:type="dxa"/>
          </w:tcPr>
          <w:p w14:paraId="08F6BCDF" w14:textId="6C8B44A6" w:rsidR="0081736A" w:rsidRPr="00C13BD6" w:rsidRDefault="0081736A" w:rsidP="0081736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Chicago Diabetes Day Poster Award, Chicago Diabetes Research and Training Center, $100.</w:t>
            </w:r>
          </w:p>
        </w:tc>
      </w:tr>
    </w:tbl>
    <w:p w14:paraId="7114D32F" w14:textId="15273C49" w:rsidR="00CF6745" w:rsidRPr="00C13BD6" w:rsidRDefault="00616E2B" w:rsidP="000E6EC6">
      <w:pPr>
        <w:pStyle w:val="Heading1"/>
        <w:rPr>
          <w:rFonts w:cs="Arial"/>
          <w:szCs w:val="22"/>
        </w:rPr>
      </w:pPr>
      <w:r w:rsidRPr="00C13BD6">
        <w:rPr>
          <w:rFonts w:cs="Arial"/>
          <w:szCs w:val="22"/>
        </w:rPr>
        <w:t>INVITED SPEAKING</w:t>
      </w:r>
    </w:p>
    <w:p w14:paraId="60D185D4" w14:textId="77777777" w:rsidR="009A7597" w:rsidRPr="00C13BD6" w:rsidRDefault="009A7597" w:rsidP="009D6E66">
      <w:pPr>
        <w:pStyle w:val="BodyText"/>
        <w:numPr>
          <w:ilvl w:val="0"/>
          <w:numId w:val="23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. “Combinatorial microenvironmental regulation of liver progenitor differentiation by Notch ligands, TGFβ, and extracellular matrix”. Bioengineering Graduate Student Seminar Series, Urbana, IL. Sept. 2015.</w:t>
      </w:r>
    </w:p>
    <w:p w14:paraId="76CF1B7F" w14:textId="4DA366B6" w:rsidR="009A7597" w:rsidRPr="00C13BD6" w:rsidRDefault="009A7597" w:rsidP="009D6E66">
      <w:pPr>
        <w:pStyle w:val="BodyText"/>
        <w:numPr>
          <w:ilvl w:val="0"/>
          <w:numId w:val="23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 xml:space="preserve">, V. Ermilova, R. C. Yada, and G. H. Underhill. “Cellular microarrays reveal combinatorial effects of Notch ligands, TGFβ, and extracellular matrix on liver progenitor </w:t>
      </w:r>
      <w:r w:rsidRPr="00C13BD6">
        <w:rPr>
          <w:rFonts w:cs="Arial"/>
          <w:szCs w:val="22"/>
        </w:rPr>
        <w:lastRenderedPageBreak/>
        <w:t xml:space="preserve">differentiation”. American Society of Mechanical Engineers </w:t>
      </w:r>
      <w:proofErr w:type="spellStart"/>
      <w:r w:rsidRPr="00C13BD6">
        <w:rPr>
          <w:rFonts w:cs="Arial"/>
          <w:szCs w:val="22"/>
        </w:rPr>
        <w:t>NanoEngineering</w:t>
      </w:r>
      <w:proofErr w:type="spellEnd"/>
      <w:r w:rsidRPr="00C13BD6">
        <w:rPr>
          <w:rFonts w:cs="Arial"/>
          <w:szCs w:val="22"/>
        </w:rPr>
        <w:t xml:space="preserve"> for Medicine and Biology Conference, Houston, TX. Feb. 2016</w:t>
      </w:r>
      <w:r w:rsidR="007303A6" w:rsidRPr="00C13BD6">
        <w:rPr>
          <w:rFonts w:cs="Arial"/>
          <w:szCs w:val="22"/>
        </w:rPr>
        <w:t>.</w:t>
      </w:r>
    </w:p>
    <w:p w14:paraId="3E4C0E4B" w14:textId="77777777" w:rsidR="009A7597" w:rsidRPr="00C13BD6" w:rsidRDefault="009A7597" w:rsidP="009D6E66">
      <w:pPr>
        <w:pStyle w:val="BodyText"/>
        <w:numPr>
          <w:ilvl w:val="0"/>
          <w:numId w:val="23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 xml:space="preserve">. “Combinatorial microenvironmental regulation of liver progenitor differentiation by Notch ligands, TGFβ, and extracellular matrix”. </w:t>
      </w:r>
      <w:proofErr w:type="spellStart"/>
      <w:r w:rsidRPr="00C13BD6">
        <w:rPr>
          <w:rFonts w:cs="Arial"/>
          <w:szCs w:val="22"/>
        </w:rPr>
        <w:t>oSTEM</w:t>
      </w:r>
      <w:proofErr w:type="spellEnd"/>
      <w:r w:rsidRPr="00C13BD6">
        <w:rPr>
          <w:rFonts w:cs="Arial"/>
          <w:szCs w:val="22"/>
        </w:rPr>
        <w:t xml:space="preserve"> Minority Research Symposium, Urbana, IL. Apr. 2016.</w:t>
      </w:r>
    </w:p>
    <w:p w14:paraId="355BD52A" w14:textId="77777777" w:rsidR="009A7597" w:rsidRPr="00C13BD6" w:rsidRDefault="009A7597" w:rsidP="009D6E66">
      <w:pPr>
        <w:pStyle w:val="BodyText"/>
        <w:numPr>
          <w:ilvl w:val="0"/>
          <w:numId w:val="23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, S. D. Gentile, L. E. Milling, K. N. Bhinge, F. Kosari, and G. H. Underhill. “Mapping tumor cell drug response as a function of matrix context using combinatorial cell microarrays”. Biomedical Engineering Society Annual Meeting, Minneapolis, MN. Oct. 2016.</w:t>
      </w:r>
    </w:p>
    <w:p w14:paraId="790FA26D" w14:textId="77777777" w:rsidR="009A7597" w:rsidRPr="00C13BD6" w:rsidRDefault="009A7597" w:rsidP="009D6E66">
      <w:pPr>
        <w:pStyle w:val="BodyText"/>
        <w:numPr>
          <w:ilvl w:val="0"/>
          <w:numId w:val="23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. “Dissecting mechanisms of liver progenitor fate specification using cellular microarrays”. Medical Scholars Program Retreat, Monticello, IL. Aug. 2017.</w:t>
      </w:r>
    </w:p>
    <w:p w14:paraId="700FFCB1" w14:textId="77777777" w:rsidR="009A7597" w:rsidRPr="00C13BD6" w:rsidRDefault="009A7597" w:rsidP="009D6E66">
      <w:pPr>
        <w:pStyle w:val="BodyText"/>
        <w:numPr>
          <w:ilvl w:val="0"/>
          <w:numId w:val="23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 xml:space="preserve">. “Immune cell responses in metabolic dysfunction-associated </w:t>
      </w:r>
      <w:proofErr w:type="spellStart"/>
      <w:r w:rsidRPr="00C13BD6">
        <w:rPr>
          <w:rFonts w:cs="Arial"/>
          <w:szCs w:val="22"/>
        </w:rPr>
        <w:t>steatotic</w:t>
      </w:r>
      <w:proofErr w:type="spellEnd"/>
      <w:r w:rsidRPr="00C13BD6">
        <w:rPr>
          <w:rFonts w:cs="Arial"/>
          <w:szCs w:val="22"/>
        </w:rPr>
        <w:t xml:space="preserve"> liver disease”. UChicago Endocrine Research Seminar, Chicago, IL. May 2024.</w:t>
      </w:r>
    </w:p>
    <w:p w14:paraId="692C34AB" w14:textId="77777777" w:rsidR="009A7597" w:rsidRPr="00C13BD6" w:rsidRDefault="009A7597" w:rsidP="009D6E66">
      <w:pPr>
        <w:pStyle w:val="BodyText"/>
        <w:numPr>
          <w:ilvl w:val="0"/>
          <w:numId w:val="23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. “Inhibition of lipoxygenase signaling in a human gene replacement mouse model of obesity and type 2 diabetes”. UChicago Physician Scientist Development Program retreat, Chicago, IL. Sept. 2024.</w:t>
      </w:r>
    </w:p>
    <w:p w14:paraId="20235282" w14:textId="77777777" w:rsidR="009A7597" w:rsidRPr="00C13BD6" w:rsidRDefault="009A7597" w:rsidP="009D6E66">
      <w:pPr>
        <w:pStyle w:val="BodyText"/>
        <w:numPr>
          <w:ilvl w:val="0"/>
          <w:numId w:val="23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. “63-year-old female with osteoporosis”. Endocrine Fellows Foundation Bone Health ECHO. Jan. 2025.</w:t>
      </w:r>
    </w:p>
    <w:p w14:paraId="176703F8" w14:textId="77777777" w:rsidR="009A7597" w:rsidRPr="00C13BD6" w:rsidRDefault="009A7597" w:rsidP="009D6E66">
      <w:pPr>
        <w:pStyle w:val="BodyText"/>
        <w:numPr>
          <w:ilvl w:val="0"/>
          <w:numId w:val="23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. “Inhibition of 12-lipoxygenase signaling in a human gene replacement mouse model of obesity and dysglycemia”. UChicago Endocrine Research Seminar, Chicago, IL. May 2025.</w:t>
      </w:r>
    </w:p>
    <w:p w14:paraId="484607AB" w14:textId="77777777" w:rsidR="009A7597" w:rsidRPr="00C13BD6" w:rsidRDefault="009A7597" w:rsidP="009D6E66">
      <w:pPr>
        <w:pStyle w:val="BodyText"/>
        <w:numPr>
          <w:ilvl w:val="0"/>
          <w:numId w:val="23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. “β-cell stress and immune crosstalk in diabetes”. Department of Medicine Grand Rounds, University of Chicago, Chicago, IL. May 2025.</w:t>
      </w:r>
    </w:p>
    <w:p w14:paraId="3941A239" w14:textId="25E47415" w:rsidR="001865C2" w:rsidRPr="00C13BD6" w:rsidRDefault="009A7597" w:rsidP="009D6E66">
      <w:pPr>
        <w:pStyle w:val="BodyText"/>
        <w:numPr>
          <w:ilvl w:val="0"/>
          <w:numId w:val="23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 xml:space="preserve">, T. Nargis, K. </w:t>
      </w:r>
      <w:proofErr w:type="spellStart"/>
      <w:r w:rsidRPr="00C13BD6">
        <w:rPr>
          <w:rFonts w:cs="Arial"/>
          <w:szCs w:val="22"/>
        </w:rPr>
        <w:t>Figatner</w:t>
      </w:r>
      <w:proofErr w:type="spellEnd"/>
      <w:r w:rsidRPr="00C13BD6">
        <w:rPr>
          <w:rFonts w:cs="Arial"/>
          <w:szCs w:val="22"/>
        </w:rPr>
        <w:t xml:space="preserve">, J. E. Wang, S. </w:t>
      </w:r>
      <w:proofErr w:type="spellStart"/>
      <w:r w:rsidRPr="00C13BD6">
        <w:rPr>
          <w:rFonts w:cs="Arial"/>
          <w:szCs w:val="22"/>
        </w:rPr>
        <w:t>Pratuangtham</w:t>
      </w:r>
      <w:proofErr w:type="spellEnd"/>
      <w:r w:rsidRPr="00C13BD6">
        <w:rPr>
          <w:rFonts w:cs="Arial"/>
          <w:szCs w:val="22"/>
        </w:rPr>
        <w:t>, A. Chakraborty, I. Casimiro, J. L. Nadler, M. B. Boxer, D. J. Maloney, R. M. Anderson, R. G. Mirmira, and S. A. Tersey. “12-Lipoxygenase inhibition improves glucose homeostasis and obesity-associated inflammation in human gene replacement mice”. Endocrinology Society Annual Meeting, San Francisco, CA. July 2025.</w:t>
      </w:r>
    </w:p>
    <w:p w14:paraId="7114D331" w14:textId="77777777" w:rsidR="00CF6745" w:rsidRPr="00C13BD6" w:rsidRDefault="00616E2B" w:rsidP="000E6EC6">
      <w:pPr>
        <w:pStyle w:val="Heading1"/>
        <w:rPr>
          <w:rFonts w:cs="Arial"/>
          <w:szCs w:val="22"/>
        </w:rPr>
      </w:pPr>
      <w:r w:rsidRPr="00C13BD6">
        <w:rPr>
          <w:rFonts w:cs="Arial"/>
          <w:szCs w:val="22"/>
        </w:rPr>
        <w:t>INVITED, ELECTED, OR APPOINTED EXTRAMURAL SERVICE</w:t>
      </w:r>
    </w:p>
    <w:p w14:paraId="15DF2EDE" w14:textId="77777777" w:rsidR="00284880" w:rsidRPr="00C13BD6" w:rsidRDefault="00616E2B" w:rsidP="000E6EC6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Reviewer for manuscripts in peer reviewed journals</w:t>
      </w:r>
    </w:p>
    <w:p w14:paraId="72C46452" w14:textId="77777777" w:rsidR="00584838" w:rsidRPr="00C13BD6" w:rsidRDefault="00616E2B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Journal of Clinical Investigation (JCI)</w:t>
      </w:r>
    </w:p>
    <w:p w14:paraId="34D4A82B" w14:textId="77777777" w:rsidR="00584838" w:rsidRPr="00C13BD6" w:rsidRDefault="00284880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J</w:t>
      </w:r>
      <w:r w:rsidR="00616E2B" w:rsidRPr="00C13BD6">
        <w:rPr>
          <w:rFonts w:cs="Arial"/>
          <w:szCs w:val="22"/>
        </w:rPr>
        <w:t>CI Insight</w:t>
      </w:r>
    </w:p>
    <w:p w14:paraId="194D51F9" w14:textId="77777777" w:rsidR="00584838" w:rsidRPr="00C13BD6" w:rsidRDefault="00616E2B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Molecular Medicine</w:t>
      </w:r>
    </w:p>
    <w:p w14:paraId="3C3E0EDA" w14:textId="1FE11773" w:rsidR="003D6DBE" w:rsidRPr="00C13BD6" w:rsidRDefault="003D6DBE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Microarrays</w:t>
      </w:r>
    </w:p>
    <w:p w14:paraId="1F3C5687" w14:textId="77777777" w:rsidR="00284880" w:rsidRPr="00C13BD6" w:rsidRDefault="00616E2B" w:rsidP="000E6EC6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Reviewer for grants</w:t>
      </w:r>
    </w:p>
    <w:p w14:paraId="7114D333" w14:textId="56F5654E" w:rsidR="00CF6745" w:rsidRPr="00C13BD6" w:rsidRDefault="00616E2B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Diabetes Action Research and Education Foundation</w:t>
      </w:r>
    </w:p>
    <w:p w14:paraId="7114D334" w14:textId="77777777" w:rsidR="00CF6745" w:rsidRPr="00C13BD6" w:rsidRDefault="00616E2B" w:rsidP="000E6EC6">
      <w:pPr>
        <w:pStyle w:val="Heading1"/>
        <w:rPr>
          <w:rFonts w:cs="Arial"/>
          <w:szCs w:val="22"/>
        </w:rPr>
      </w:pPr>
      <w:r w:rsidRPr="00C13BD6">
        <w:rPr>
          <w:rFonts w:cs="Arial"/>
          <w:szCs w:val="22"/>
        </w:rPr>
        <w:t>PROFESSIONAL SOCIETIES</w:t>
      </w:r>
    </w:p>
    <w:p w14:paraId="7114D335" w14:textId="77777777" w:rsidR="00CF6745" w:rsidRPr="00C13BD6" w:rsidRDefault="00616E2B" w:rsidP="000E6EC6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Elected or invited membership:</w:t>
      </w:r>
    </w:p>
    <w:p w14:paraId="3154E4FE" w14:textId="77777777" w:rsidR="00266EF6" w:rsidRPr="00C13BD6" w:rsidRDefault="00266EF6">
      <w:pPr>
        <w:pStyle w:val="BodyText"/>
        <w:rPr>
          <w:rFonts w:cs="Arial"/>
          <w:i/>
          <w:iCs/>
          <w:szCs w:val="22"/>
        </w:rPr>
      </w:pPr>
      <w:r w:rsidRPr="00C13BD6">
        <w:rPr>
          <w:rFonts w:cs="Arial"/>
          <w:szCs w:val="22"/>
        </w:rPr>
        <w:t>Tau Beta Pi</w:t>
      </w:r>
    </w:p>
    <w:p w14:paraId="7114D337" w14:textId="02271B74" w:rsidR="00CF6745" w:rsidRPr="00C13BD6" w:rsidRDefault="00616E2B" w:rsidP="00D248AA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Other:</w:t>
      </w:r>
    </w:p>
    <w:p w14:paraId="536AAD34" w14:textId="77777777" w:rsidR="00584838" w:rsidRPr="00C13BD6" w:rsidRDefault="00616E2B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Endocrine Society</w:t>
      </w:r>
    </w:p>
    <w:p w14:paraId="06622406" w14:textId="77777777" w:rsidR="00584838" w:rsidRPr="00C13BD6" w:rsidRDefault="00616E2B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American Diabetes Association</w:t>
      </w:r>
    </w:p>
    <w:p w14:paraId="4D99273D" w14:textId="77777777" w:rsidR="008644B1" w:rsidRPr="00C13BD6" w:rsidRDefault="00616E2B" w:rsidP="00584838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American Association of Clinical Endocrinologists</w:t>
      </w:r>
    </w:p>
    <w:p w14:paraId="7600B5D1" w14:textId="09A3023A" w:rsidR="00584838" w:rsidRPr="00C13BD6" w:rsidRDefault="00616E2B" w:rsidP="00584838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American Physician Scientists Association</w:t>
      </w:r>
    </w:p>
    <w:p w14:paraId="7114D339" w14:textId="775AEB45" w:rsidR="00CF6745" w:rsidRPr="00C13BD6" w:rsidRDefault="00616E2B" w:rsidP="00584838">
      <w:pPr>
        <w:pStyle w:val="Heading1"/>
        <w:rPr>
          <w:rFonts w:cs="Arial"/>
          <w:szCs w:val="22"/>
        </w:rPr>
      </w:pPr>
      <w:r w:rsidRPr="00C13BD6">
        <w:rPr>
          <w:rFonts w:cs="Arial"/>
          <w:szCs w:val="22"/>
        </w:rPr>
        <w:t>EDUCATION</w:t>
      </w:r>
    </w:p>
    <w:p w14:paraId="7B80EFFA" w14:textId="133762B2" w:rsidR="005C1288" w:rsidRPr="00C13BD6" w:rsidRDefault="00D67C06" w:rsidP="000E6EC6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t>K-12</w:t>
      </w: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1781"/>
        <w:gridCol w:w="7795"/>
      </w:tblGrid>
      <w:tr w:rsidR="00C75B83" w:rsidRPr="00C13BD6" w14:paraId="6025A7DC" w14:textId="77777777" w:rsidTr="00C75B83">
        <w:tc>
          <w:tcPr>
            <w:tcW w:w="1781" w:type="dxa"/>
          </w:tcPr>
          <w:p w14:paraId="6DCD286F" w14:textId="3DB720F3" w:rsidR="00C75B83" w:rsidRPr="00C13BD6" w:rsidRDefault="00C75B83" w:rsidP="00C75B83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2/2013</w:t>
            </w:r>
          </w:p>
        </w:tc>
        <w:tc>
          <w:tcPr>
            <w:tcW w:w="7795" w:type="dxa"/>
          </w:tcPr>
          <w:p w14:paraId="72952E7F" w14:textId="0E386B1B" w:rsidR="00C75B83" w:rsidRPr="00C13BD6" w:rsidRDefault="00C75B83" w:rsidP="00C75B83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 xml:space="preserve">Bioengineering the Future, Organizer and Primary Instructor, University Lab </w:t>
            </w:r>
            <w:r w:rsidRPr="00C13BD6">
              <w:rPr>
                <w:rFonts w:ascii="Arial" w:hAnsi="Arial" w:cs="Arial"/>
                <w:sz w:val="22"/>
                <w:szCs w:val="22"/>
              </w:rPr>
              <w:lastRenderedPageBreak/>
              <w:t>High School, Urbana, IL. Contact hours: 4.</w:t>
            </w:r>
          </w:p>
        </w:tc>
      </w:tr>
      <w:tr w:rsidR="00C75B83" w:rsidRPr="00C13BD6" w14:paraId="69DB63DC" w14:textId="77777777" w:rsidTr="00C75B83">
        <w:tc>
          <w:tcPr>
            <w:tcW w:w="1781" w:type="dxa"/>
          </w:tcPr>
          <w:p w14:paraId="7711CF85" w14:textId="6E66C0C6" w:rsidR="00C75B83" w:rsidRPr="00C13BD6" w:rsidRDefault="00C75B83" w:rsidP="00C75B83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lastRenderedPageBreak/>
              <w:t>7/2015, 7/2016</w:t>
            </w:r>
          </w:p>
        </w:tc>
        <w:tc>
          <w:tcPr>
            <w:tcW w:w="7795" w:type="dxa"/>
          </w:tcPr>
          <w:p w14:paraId="01530B0B" w14:textId="649A9052" w:rsidR="00C75B83" w:rsidRPr="00C13BD6" w:rsidRDefault="00C75B83" w:rsidP="00C75B83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Discover Bioengineering Camp, Facilitator, College of Engineering, University of Illinois at Urbana–Champaign. Primary instructors: Prof. Gregory H. Underhill, Prof. Jennifer Amos. Contact hours: 16.</w:t>
            </w:r>
          </w:p>
        </w:tc>
      </w:tr>
      <w:tr w:rsidR="00C75B83" w:rsidRPr="00C13BD6" w14:paraId="3F97FE64" w14:textId="77777777" w:rsidTr="00C75B83">
        <w:tc>
          <w:tcPr>
            <w:tcW w:w="1781" w:type="dxa"/>
          </w:tcPr>
          <w:p w14:paraId="6CB6675A" w14:textId="77777777" w:rsidR="00C75B83" w:rsidRPr="00C13BD6" w:rsidRDefault="00C75B83" w:rsidP="00C75B83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7/2016</w:t>
            </w:r>
          </w:p>
        </w:tc>
        <w:tc>
          <w:tcPr>
            <w:tcW w:w="7795" w:type="dxa"/>
          </w:tcPr>
          <w:p w14:paraId="2CA7E20E" w14:textId="5C2D27D3" w:rsidR="00C75B83" w:rsidRPr="00C13BD6" w:rsidRDefault="00C75B83" w:rsidP="00C75B83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Worldwide Youth in Science and Engineering Camp, Facilitator, College of Engineering, University of Illinois at Urbana–Champaign. Primary instructor: Prof. Gregory H. Underhill. Contact hours: 8.</w:t>
            </w:r>
          </w:p>
        </w:tc>
      </w:tr>
    </w:tbl>
    <w:p w14:paraId="7114D33A" w14:textId="35AE51B2" w:rsidR="00CF6745" w:rsidRPr="00C13BD6" w:rsidRDefault="00616E2B" w:rsidP="000E6EC6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The College (B.A., B.S.):</w:t>
      </w:r>
    </w:p>
    <w:p w14:paraId="7114D33B" w14:textId="464E83F7" w:rsidR="00CF6745" w:rsidRPr="00C13BD6" w:rsidRDefault="00616E2B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None</w:t>
      </w:r>
      <w:r w:rsidR="00584838" w:rsidRPr="00C13BD6">
        <w:rPr>
          <w:rFonts w:cs="Arial"/>
          <w:szCs w:val="22"/>
        </w:rPr>
        <w:t>.</w:t>
      </w:r>
    </w:p>
    <w:p w14:paraId="7987A7F3" w14:textId="037D8F72" w:rsidR="004F69FF" w:rsidRPr="00C13BD6" w:rsidRDefault="004F69FF" w:rsidP="004F69FF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Undergraduate</w:t>
      </w:r>
      <w:r w:rsidR="005E224A">
        <w:rPr>
          <w:rFonts w:cs="Arial"/>
          <w:szCs w:val="22"/>
        </w:rPr>
        <w:t xml:space="preserve"> </w:t>
      </w:r>
      <w:r w:rsidR="00AD24D1">
        <w:rPr>
          <w:rFonts w:cs="Arial"/>
          <w:szCs w:val="22"/>
        </w:rPr>
        <w:t>education</w:t>
      </w:r>
      <w:r w:rsidRPr="00C13BD6">
        <w:rPr>
          <w:rFonts w:cs="Arial"/>
          <w:szCs w:val="22"/>
        </w:rPr>
        <w:t xml:space="preserve"> outside of the University of Chicago</w:t>
      </w: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1783"/>
        <w:gridCol w:w="7793"/>
      </w:tblGrid>
      <w:tr w:rsidR="004F69FF" w:rsidRPr="00C13BD6" w14:paraId="5C5F9966" w14:textId="77777777" w:rsidTr="004E6F70">
        <w:tc>
          <w:tcPr>
            <w:tcW w:w="1783" w:type="dxa"/>
          </w:tcPr>
          <w:p w14:paraId="6442FCC0" w14:textId="77777777" w:rsidR="004F69FF" w:rsidRPr="00C13BD6" w:rsidRDefault="004F69FF" w:rsidP="004E6F70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8/2011–5/2012</w:t>
            </w:r>
          </w:p>
        </w:tc>
        <w:tc>
          <w:tcPr>
            <w:tcW w:w="7793" w:type="dxa"/>
          </w:tcPr>
          <w:p w14:paraId="78E74C1B" w14:textId="77777777" w:rsidR="004F69FF" w:rsidRPr="00C13BD6" w:rsidRDefault="004F69FF" w:rsidP="004E6F70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Peer Mentor Program, Peer Mentor, Engineering Advising Center, College of Engineering, University of Michigan. Contact hours: 4.</w:t>
            </w:r>
          </w:p>
        </w:tc>
      </w:tr>
      <w:tr w:rsidR="004F69FF" w:rsidRPr="00C13BD6" w14:paraId="7AA5C41E" w14:textId="77777777" w:rsidTr="004E6F70">
        <w:tc>
          <w:tcPr>
            <w:tcW w:w="1783" w:type="dxa"/>
          </w:tcPr>
          <w:p w14:paraId="5A8CC5FB" w14:textId="77777777" w:rsidR="004F69FF" w:rsidRPr="00C13BD6" w:rsidRDefault="004F69FF" w:rsidP="004E6F70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1/2012–4/2012</w:t>
            </w:r>
          </w:p>
        </w:tc>
        <w:tc>
          <w:tcPr>
            <w:tcW w:w="7793" w:type="dxa"/>
          </w:tcPr>
          <w:p w14:paraId="6594058C" w14:textId="77777777" w:rsidR="004F69FF" w:rsidRPr="00C13BD6" w:rsidRDefault="004F69FF" w:rsidP="004E6F70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Quantitative Cell Biology, Instructional Aid, Department of Biomedical Engineering, University of Michigan. Primary instructor: Prof. Shuichi Takayama. Semesters: Winter 2012. Contact hours: 2 hours/week, 16 weeks. Student evaluations: 4.5/5.0 (Winter 2012).</w:t>
            </w:r>
          </w:p>
        </w:tc>
      </w:tr>
      <w:tr w:rsidR="004F69FF" w:rsidRPr="00C13BD6" w14:paraId="566D826B" w14:textId="77777777" w:rsidTr="004E6F70">
        <w:tc>
          <w:tcPr>
            <w:tcW w:w="1783" w:type="dxa"/>
          </w:tcPr>
          <w:p w14:paraId="4461A131" w14:textId="77777777" w:rsidR="004F69FF" w:rsidRPr="00C13BD6" w:rsidRDefault="004F69FF" w:rsidP="004E6F70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1/2014–5/2014</w:t>
            </w:r>
          </w:p>
        </w:tc>
        <w:tc>
          <w:tcPr>
            <w:tcW w:w="7793" w:type="dxa"/>
          </w:tcPr>
          <w:p w14:paraId="7071BD06" w14:textId="77777777" w:rsidR="004F69FF" w:rsidRPr="00C13BD6" w:rsidRDefault="004F69FF" w:rsidP="004E6F70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Stem Cell Bioengineering, Grader, Department of Bioengineering, University of Illinois at Urbana–Champaign. Primary instructor: Prof. Gregory H. Underhill. Semesters: Spring 2014.</w:t>
            </w:r>
          </w:p>
        </w:tc>
      </w:tr>
      <w:tr w:rsidR="004F69FF" w:rsidRPr="00C13BD6" w14:paraId="29896570" w14:textId="77777777" w:rsidTr="004E6F70">
        <w:tc>
          <w:tcPr>
            <w:tcW w:w="1783" w:type="dxa"/>
          </w:tcPr>
          <w:p w14:paraId="42312AA6" w14:textId="77777777" w:rsidR="004F69FF" w:rsidRPr="00C13BD6" w:rsidRDefault="004F69FF" w:rsidP="004E6F70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8/2015–12/2015</w:t>
            </w:r>
          </w:p>
        </w:tc>
        <w:tc>
          <w:tcPr>
            <w:tcW w:w="7793" w:type="dxa"/>
          </w:tcPr>
          <w:p w14:paraId="733DEBBB" w14:textId="77777777" w:rsidR="004F69FF" w:rsidRPr="00C13BD6" w:rsidRDefault="004F69FF" w:rsidP="004E6F70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Introduction to Bioengineering, Mentor, Department of Bioengineering, University of Illinois at Urbana–Champaign. Primary instructor: Prof. Jennifer Amos, Mark Gryka. Contact hours: 12.</w:t>
            </w:r>
          </w:p>
        </w:tc>
      </w:tr>
    </w:tbl>
    <w:p w14:paraId="7114D33C" w14:textId="77777777" w:rsidR="00CF6745" w:rsidRPr="00C13BD6" w:rsidRDefault="00616E2B" w:rsidP="000E6EC6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Graduate programs (Ph.D.):</w:t>
      </w:r>
    </w:p>
    <w:p w14:paraId="7114D33D" w14:textId="4D2971A6" w:rsidR="00CF6745" w:rsidRPr="00C13BD6" w:rsidRDefault="00616E2B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None</w:t>
      </w:r>
      <w:r w:rsidR="00584838" w:rsidRPr="00C13BD6">
        <w:rPr>
          <w:rFonts w:cs="Arial"/>
          <w:szCs w:val="22"/>
        </w:rPr>
        <w:t>.</w:t>
      </w:r>
    </w:p>
    <w:p w14:paraId="7114D33E" w14:textId="77777777" w:rsidR="00CF6745" w:rsidRPr="00C13BD6" w:rsidRDefault="00616E2B" w:rsidP="000E6EC6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Pritzker School of Medicine (M.D.):</w:t>
      </w:r>
    </w:p>
    <w:p w14:paraId="7114D33F" w14:textId="77777777" w:rsidR="00CF6745" w:rsidRPr="00C13BD6" w:rsidRDefault="00616E2B" w:rsidP="00EF6B6B">
      <w:pPr>
        <w:pStyle w:val="Heading3"/>
        <w:rPr>
          <w:rFonts w:cs="Arial"/>
          <w:szCs w:val="22"/>
        </w:rPr>
      </w:pPr>
      <w:r w:rsidRPr="00C13BD6">
        <w:rPr>
          <w:rFonts w:cs="Arial"/>
          <w:szCs w:val="22"/>
        </w:rPr>
        <w:t>(a) Didactic</w:t>
      </w:r>
    </w:p>
    <w:tbl>
      <w:tblPr>
        <w:tblStyle w:val="PlainTable3"/>
        <w:tblW w:w="9734" w:type="dxa"/>
        <w:tblLayout w:type="fixed"/>
        <w:tblLook w:val="0600" w:firstRow="0" w:lastRow="0" w:firstColumn="0" w:lastColumn="0" w:noHBand="1" w:noVBand="1"/>
      </w:tblPr>
      <w:tblGrid>
        <w:gridCol w:w="1800"/>
        <w:gridCol w:w="7934"/>
      </w:tblGrid>
      <w:tr w:rsidR="00715A25" w:rsidRPr="00C13BD6" w14:paraId="2D6F67E6" w14:textId="77777777" w:rsidTr="00F1300B">
        <w:tc>
          <w:tcPr>
            <w:tcW w:w="1800" w:type="dxa"/>
          </w:tcPr>
          <w:p w14:paraId="7CFE6BDF" w14:textId="17A4527C" w:rsidR="00715A25" w:rsidRPr="00C13BD6" w:rsidRDefault="00715A25" w:rsidP="00715A25">
            <w:pPr>
              <w:pStyle w:val="BodyText"/>
              <w:rPr>
                <w:rFonts w:cs="Arial"/>
                <w:szCs w:val="22"/>
              </w:rPr>
            </w:pPr>
            <w:r w:rsidRPr="00C13BD6">
              <w:rPr>
                <w:rFonts w:cs="Arial"/>
                <w:szCs w:val="22"/>
              </w:rPr>
              <w:t>1/2024</w:t>
            </w:r>
            <w:r w:rsidR="00C75B83" w:rsidRPr="00C13BD6">
              <w:rPr>
                <w:rFonts w:cs="Arial"/>
                <w:szCs w:val="22"/>
              </w:rPr>
              <w:br/>
            </w:r>
            <w:r w:rsidRPr="00C13BD6">
              <w:rPr>
                <w:rFonts w:cs="Arial"/>
                <w:szCs w:val="22"/>
              </w:rPr>
              <w:t>11–12/2024</w:t>
            </w:r>
          </w:p>
        </w:tc>
        <w:tc>
          <w:tcPr>
            <w:tcW w:w="7934" w:type="dxa"/>
          </w:tcPr>
          <w:p w14:paraId="477D4FE9" w14:textId="533B86BD" w:rsidR="00715A25" w:rsidRPr="00C13BD6" w:rsidRDefault="00715A25" w:rsidP="00715A25">
            <w:pPr>
              <w:pStyle w:val="BodyText"/>
              <w:rPr>
                <w:rFonts w:cs="Arial"/>
                <w:szCs w:val="22"/>
              </w:rPr>
            </w:pPr>
            <w:r w:rsidRPr="00C13BD6">
              <w:rPr>
                <w:rFonts w:cs="Arial"/>
                <w:szCs w:val="22"/>
              </w:rPr>
              <w:t>Clinical Skills and Reasoning, Interviewer. Primary instructor: Prof. Tia Kostas, Prof. Joyce Tang, Prof. Jason Poston. Quarters: Winter 2024, Fall 2024. Contact hours: 4.</w:t>
            </w:r>
          </w:p>
        </w:tc>
      </w:tr>
      <w:tr w:rsidR="00634968" w:rsidRPr="00C13BD6" w14:paraId="714EAB60" w14:textId="77777777" w:rsidTr="00F1300B">
        <w:tc>
          <w:tcPr>
            <w:tcW w:w="1800" w:type="dxa"/>
          </w:tcPr>
          <w:p w14:paraId="269C73B2" w14:textId="2087ACC0" w:rsidR="00634968" w:rsidRPr="00C13BD6" w:rsidRDefault="00634968" w:rsidP="00634968">
            <w:pPr>
              <w:pStyle w:val="BodyText"/>
              <w:rPr>
                <w:rFonts w:cs="Arial"/>
                <w:szCs w:val="22"/>
              </w:rPr>
            </w:pPr>
            <w:r w:rsidRPr="00C13BD6">
              <w:rPr>
                <w:rFonts w:cs="Arial"/>
                <w:szCs w:val="22"/>
              </w:rPr>
              <w:t>10/2024</w:t>
            </w:r>
          </w:p>
        </w:tc>
        <w:tc>
          <w:tcPr>
            <w:tcW w:w="7934" w:type="dxa"/>
          </w:tcPr>
          <w:p w14:paraId="5B0F341A" w14:textId="42D8B0FE" w:rsidR="00634968" w:rsidRPr="00C13BD6" w:rsidRDefault="00634968" w:rsidP="00634968">
            <w:pPr>
              <w:pStyle w:val="BodyText"/>
              <w:rPr>
                <w:rFonts w:cs="Arial"/>
                <w:szCs w:val="22"/>
              </w:rPr>
            </w:pPr>
            <w:r w:rsidRPr="00C13BD6">
              <w:rPr>
                <w:rFonts w:cs="Arial"/>
                <w:szCs w:val="22"/>
              </w:rPr>
              <w:t>Clinical Pathophysiology and Therapeutics, Discussant. Primary instructor: Prof. Jason Poston, Prof. Aliya Husain. Quarters: Fall 2024. Contact hours: 2.</w:t>
            </w:r>
          </w:p>
        </w:tc>
      </w:tr>
      <w:tr w:rsidR="00634968" w:rsidRPr="00C13BD6" w14:paraId="011B5F61" w14:textId="77777777" w:rsidTr="00F1300B">
        <w:tc>
          <w:tcPr>
            <w:tcW w:w="1800" w:type="dxa"/>
          </w:tcPr>
          <w:p w14:paraId="61A449FF" w14:textId="46D94DA0" w:rsidR="00634968" w:rsidRPr="00C13BD6" w:rsidRDefault="00634968" w:rsidP="00634968">
            <w:pPr>
              <w:pStyle w:val="BodyText"/>
              <w:rPr>
                <w:rFonts w:cs="Arial"/>
                <w:szCs w:val="22"/>
              </w:rPr>
            </w:pPr>
            <w:r w:rsidRPr="00C13BD6">
              <w:rPr>
                <w:rFonts w:cs="Arial"/>
                <w:szCs w:val="22"/>
              </w:rPr>
              <w:t>1/2025</w:t>
            </w:r>
          </w:p>
        </w:tc>
        <w:tc>
          <w:tcPr>
            <w:tcW w:w="7934" w:type="dxa"/>
          </w:tcPr>
          <w:p w14:paraId="76B7B804" w14:textId="51BD8DF9" w:rsidR="00634968" w:rsidRPr="00C13BD6" w:rsidRDefault="00634968" w:rsidP="00634968">
            <w:pPr>
              <w:pStyle w:val="BodyText"/>
              <w:rPr>
                <w:rFonts w:cs="Arial"/>
                <w:szCs w:val="22"/>
              </w:rPr>
            </w:pPr>
            <w:r w:rsidRPr="00C13BD6">
              <w:rPr>
                <w:rFonts w:cs="Arial"/>
                <w:szCs w:val="22"/>
              </w:rPr>
              <w:t>Cell and Organ Physiology, Discussant. Primary instructor: Prof. Benjamin Ko. Quarters: Winter 2025. Contact hours: 2.</w:t>
            </w:r>
          </w:p>
        </w:tc>
      </w:tr>
    </w:tbl>
    <w:p w14:paraId="7114D344" w14:textId="0EF5596F" w:rsidR="00CF6745" w:rsidRPr="00C13BD6" w:rsidRDefault="00616E2B" w:rsidP="00EF6B6B">
      <w:pPr>
        <w:pStyle w:val="Heading3"/>
        <w:rPr>
          <w:rFonts w:cs="Arial"/>
          <w:szCs w:val="22"/>
        </w:rPr>
      </w:pPr>
      <w:r w:rsidRPr="00C13BD6">
        <w:rPr>
          <w:rFonts w:cs="Arial"/>
          <w:szCs w:val="22"/>
        </w:rPr>
        <w:t>(b) Clinical</w:t>
      </w:r>
    </w:p>
    <w:tbl>
      <w:tblPr>
        <w:tblStyle w:val="PlainTable3"/>
        <w:tblW w:w="9734" w:type="dxa"/>
        <w:tblLayout w:type="fixed"/>
        <w:tblLook w:val="0600" w:firstRow="0" w:lastRow="0" w:firstColumn="0" w:lastColumn="0" w:noHBand="1" w:noVBand="1"/>
      </w:tblPr>
      <w:tblGrid>
        <w:gridCol w:w="1800"/>
        <w:gridCol w:w="7934"/>
      </w:tblGrid>
      <w:tr w:rsidR="00F1300B" w:rsidRPr="00C13BD6" w14:paraId="5DC64D40" w14:textId="77777777" w:rsidTr="004F69FF">
        <w:tc>
          <w:tcPr>
            <w:tcW w:w="1800" w:type="dxa"/>
          </w:tcPr>
          <w:p w14:paraId="03857B2B" w14:textId="77777777" w:rsidR="00F1300B" w:rsidRPr="00C13BD6" w:rsidRDefault="00F1300B" w:rsidP="004E6F70">
            <w:pPr>
              <w:pStyle w:val="BodyText"/>
              <w:rPr>
                <w:rFonts w:cs="Arial"/>
                <w:szCs w:val="22"/>
              </w:rPr>
            </w:pPr>
            <w:r w:rsidRPr="00C13BD6">
              <w:rPr>
                <w:rFonts w:cs="Arial"/>
                <w:szCs w:val="22"/>
              </w:rPr>
              <w:t>11/2022</w:t>
            </w:r>
          </w:p>
        </w:tc>
        <w:tc>
          <w:tcPr>
            <w:tcW w:w="7934" w:type="dxa"/>
          </w:tcPr>
          <w:p w14:paraId="32D2D872" w14:textId="45E6F2F1" w:rsidR="00F1300B" w:rsidRPr="00C13BD6" w:rsidRDefault="00F1300B" w:rsidP="004E6F70">
            <w:pPr>
              <w:pStyle w:val="BodyText"/>
              <w:rPr>
                <w:rFonts w:cs="Arial"/>
                <w:szCs w:val="22"/>
              </w:rPr>
            </w:pPr>
            <w:r w:rsidRPr="00C13BD6">
              <w:rPr>
                <w:rFonts w:cs="Arial"/>
                <w:szCs w:val="22"/>
              </w:rPr>
              <w:t>Clinical Skills 2, Resident Preceptor. Primary instructor: Prof. Jason Poston. Quarters: Winter 2022. Contact hours: 4.</w:t>
            </w:r>
          </w:p>
        </w:tc>
      </w:tr>
      <w:tr w:rsidR="004F69FF" w:rsidRPr="00C13BD6" w14:paraId="1DA65222" w14:textId="77777777" w:rsidTr="004F69FF">
        <w:tc>
          <w:tcPr>
            <w:tcW w:w="1800" w:type="dxa"/>
          </w:tcPr>
          <w:p w14:paraId="10D01672" w14:textId="431ED487" w:rsidR="004F69FF" w:rsidRPr="00C13BD6" w:rsidRDefault="004F69FF" w:rsidP="004F69FF">
            <w:pPr>
              <w:pStyle w:val="BodyText"/>
              <w:rPr>
                <w:rFonts w:cs="Arial"/>
                <w:szCs w:val="22"/>
              </w:rPr>
            </w:pPr>
            <w:r w:rsidRPr="00C13BD6">
              <w:rPr>
                <w:rFonts w:cs="Arial"/>
                <w:szCs w:val="22"/>
              </w:rPr>
              <w:t>7/2021–6/2023</w:t>
            </w:r>
          </w:p>
        </w:tc>
        <w:tc>
          <w:tcPr>
            <w:tcW w:w="7934" w:type="dxa"/>
          </w:tcPr>
          <w:p w14:paraId="19F9C279" w14:textId="1C4E6B76" w:rsidR="004F69FF" w:rsidRPr="00C13BD6" w:rsidRDefault="004F69FF" w:rsidP="004F69FF">
            <w:pPr>
              <w:pStyle w:val="BodyText"/>
              <w:rPr>
                <w:rFonts w:cs="Arial"/>
                <w:szCs w:val="22"/>
              </w:rPr>
            </w:pPr>
            <w:r w:rsidRPr="00C13BD6">
              <w:rPr>
                <w:rFonts w:cs="Arial"/>
                <w:szCs w:val="22"/>
              </w:rPr>
              <w:t>Teaching medical students as an internal medicine intern and resident</w:t>
            </w:r>
            <w:r w:rsidR="004D35FD">
              <w:rPr>
                <w:rFonts w:cs="Arial"/>
                <w:szCs w:val="22"/>
              </w:rPr>
              <w:t>, 6 months per year</w:t>
            </w:r>
            <w:r w:rsidRPr="00C13BD6">
              <w:rPr>
                <w:rFonts w:cs="Arial"/>
                <w:szCs w:val="22"/>
              </w:rPr>
              <w:t>.</w:t>
            </w:r>
          </w:p>
        </w:tc>
      </w:tr>
      <w:tr w:rsidR="0012409F" w:rsidRPr="00C13BD6" w14:paraId="2008BEF3" w14:textId="77777777" w:rsidTr="004F69FF">
        <w:tc>
          <w:tcPr>
            <w:tcW w:w="1800" w:type="dxa"/>
          </w:tcPr>
          <w:p w14:paraId="160B02AD" w14:textId="394F395A" w:rsidR="0012409F" w:rsidRPr="00C13BD6" w:rsidRDefault="0012409F" w:rsidP="0012409F">
            <w:pPr>
              <w:pStyle w:val="BodyText"/>
              <w:rPr>
                <w:rFonts w:cs="Arial"/>
                <w:szCs w:val="22"/>
              </w:rPr>
            </w:pPr>
            <w:r w:rsidRPr="00C13BD6">
              <w:rPr>
                <w:rFonts w:cs="Arial"/>
                <w:szCs w:val="22"/>
              </w:rPr>
              <w:t>7/2023–present</w:t>
            </w:r>
          </w:p>
        </w:tc>
        <w:tc>
          <w:tcPr>
            <w:tcW w:w="7934" w:type="dxa"/>
          </w:tcPr>
          <w:p w14:paraId="3F7253E1" w14:textId="70331C2E" w:rsidR="0012409F" w:rsidRPr="00C13BD6" w:rsidRDefault="0012409F" w:rsidP="0012409F">
            <w:pPr>
              <w:pStyle w:val="BodyText"/>
              <w:rPr>
                <w:rFonts w:cs="Arial"/>
                <w:szCs w:val="22"/>
              </w:rPr>
            </w:pPr>
            <w:r w:rsidRPr="00C13BD6">
              <w:rPr>
                <w:rFonts w:cs="Arial"/>
                <w:szCs w:val="22"/>
              </w:rPr>
              <w:t>Teaching medical students while on the inpatient endocrinology consult service as an endocrinology fellow. Initially 4 months in 2023–2024 and currently 1 month per year of inpatient service with teaching.</w:t>
            </w:r>
          </w:p>
        </w:tc>
      </w:tr>
    </w:tbl>
    <w:p w14:paraId="60ECFA60" w14:textId="77777777" w:rsidR="005E224A" w:rsidRPr="00C13BD6" w:rsidRDefault="005E224A" w:rsidP="005E224A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t>Undergraduate medical education</w:t>
      </w:r>
      <w:r w:rsidRPr="00C13BD6">
        <w:rPr>
          <w:rFonts w:cs="Arial"/>
          <w:szCs w:val="22"/>
        </w:rPr>
        <w:t xml:space="preserve"> outside of University of Chicago</w:t>
      </w: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1782"/>
        <w:gridCol w:w="7794"/>
      </w:tblGrid>
      <w:tr w:rsidR="005E224A" w:rsidRPr="00C13BD6" w14:paraId="2D7E3477" w14:textId="77777777" w:rsidTr="004E6F70">
        <w:tc>
          <w:tcPr>
            <w:tcW w:w="1782" w:type="dxa"/>
          </w:tcPr>
          <w:p w14:paraId="7E4E10E2" w14:textId="77777777" w:rsidR="005E224A" w:rsidRPr="00C13BD6" w:rsidRDefault="005E224A" w:rsidP="004E6F70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1/2016–5/2017</w:t>
            </w:r>
          </w:p>
        </w:tc>
        <w:tc>
          <w:tcPr>
            <w:tcW w:w="7794" w:type="dxa"/>
          </w:tcPr>
          <w:p w14:paraId="13EAB068" w14:textId="77777777" w:rsidR="005E224A" w:rsidRPr="00C13BD6" w:rsidRDefault="005E224A" w:rsidP="004E6F70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Cell and Tissue Biology, Teaching Assistant. Primary instructor: Prof. Benjamin Williams. University of Illinois College of Medicine. Semesters: Spring 2016, Fall 2016, Spring 2017. Contact hours: 3 hours/week, 48 weeks. Student evaluations: 4.2/5.0 (Spring 2016), 4.8/5.0 (Fall 2016), 4.5/5.0 (Spring 2017).</w:t>
            </w:r>
          </w:p>
        </w:tc>
      </w:tr>
      <w:tr w:rsidR="005E224A" w:rsidRPr="00C13BD6" w14:paraId="4CB1DCE9" w14:textId="77777777" w:rsidTr="004E6F70">
        <w:trPr>
          <w:trHeight w:val="77"/>
        </w:trPr>
        <w:tc>
          <w:tcPr>
            <w:tcW w:w="1782" w:type="dxa"/>
          </w:tcPr>
          <w:p w14:paraId="5DAF72EC" w14:textId="77777777" w:rsidR="005E224A" w:rsidRPr="00C13BD6" w:rsidRDefault="005E224A" w:rsidP="004E6F70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lastRenderedPageBreak/>
              <w:t>8/2020–5/2021</w:t>
            </w:r>
          </w:p>
        </w:tc>
        <w:tc>
          <w:tcPr>
            <w:tcW w:w="7794" w:type="dxa"/>
          </w:tcPr>
          <w:p w14:paraId="2ED8C2B1" w14:textId="77777777" w:rsidR="005E224A" w:rsidRPr="00C13BD6" w:rsidRDefault="005E224A" w:rsidP="004E6F70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Doctoring and Clinical Skills 1, M4 Tutor. Primary instructor: Prof. Annette Zacharia. University of Illinois College of Medicine. Semesters: Fall 2020, Spring 2021. Contact hours: 16. Student evaluations: 4.9/5.0 (Fall 2020), N/A (Spring 2021).</w:t>
            </w:r>
          </w:p>
        </w:tc>
      </w:tr>
    </w:tbl>
    <w:p w14:paraId="7114D346" w14:textId="6A0B6E7B" w:rsidR="00CF6745" w:rsidRPr="00C13BD6" w:rsidRDefault="00616E2B" w:rsidP="00D83D00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Graduate medical education (residency and clinical fellowships):</w:t>
      </w:r>
    </w:p>
    <w:p w14:paraId="7114D347" w14:textId="77777777" w:rsidR="00CF6745" w:rsidRPr="00C13BD6" w:rsidRDefault="00616E2B" w:rsidP="00D83D00">
      <w:pPr>
        <w:pStyle w:val="Heading3"/>
        <w:rPr>
          <w:rFonts w:cs="Arial"/>
          <w:szCs w:val="22"/>
        </w:rPr>
      </w:pPr>
      <w:r w:rsidRPr="00C13BD6">
        <w:rPr>
          <w:rFonts w:cs="Arial"/>
          <w:szCs w:val="22"/>
        </w:rPr>
        <w:t>(a) Didactic</w:t>
      </w:r>
    </w:p>
    <w:p w14:paraId="7114D348" w14:textId="62ABED43" w:rsidR="00CF6745" w:rsidRPr="00C13BD6" w:rsidRDefault="00616E2B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None</w:t>
      </w:r>
      <w:r w:rsidR="008578C3" w:rsidRPr="00C13BD6">
        <w:rPr>
          <w:rFonts w:cs="Arial"/>
          <w:szCs w:val="22"/>
        </w:rPr>
        <w:t>.</w:t>
      </w:r>
    </w:p>
    <w:p w14:paraId="7114D34A" w14:textId="16DC9AAC" w:rsidR="00CF6745" w:rsidRPr="00C13BD6" w:rsidRDefault="00616E2B" w:rsidP="00065D74">
      <w:pPr>
        <w:pStyle w:val="Heading3"/>
        <w:rPr>
          <w:rFonts w:cs="Arial"/>
          <w:szCs w:val="22"/>
        </w:rPr>
      </w:pPr>
      <w:r w:rsidRPr="00C13BD6">
        <w:rPr>
          <w:rFonts w:cs="Arial"/>
          <w:szCs w:val="22"/>
        </w:rPr>
        <w:t>(b) Clinical</w:t>
      </w:r>
    </w:p>
    <w:tbl>
      <w:tblPr>
        <w:tblStyle w:val="PlainTable3"/>
        <w:tblW w:w="9734" w:type="dxa"/>
        <w:tblLayout w:type="fixed"/>
        <w:tblLook w:val="0600" w:firstRow="0" w:lastRow="0" w:firstColumn="0" w:lastColumn="0" w:noHBand="1" w:noVBand="1"/>
      </w:tblPr>
      <w:tblGrid>
        <w:gridCol w:w="1800"/>
        <w:gridCol w:w="7934"/>
      </w:tblGrid>
      <w:tr w:rsidR="00F92432" w:rsidRPr="00C13BD6" w14:paraId="1F9749FF" w14:textId="77777777" w:rsidTr="00891BFD">
        <w:tc>
          <w:tcPr>
            <w:tcW w:w="1800" w:type="dxa"/>
          </w:tcPr>
          <w:p w14:paraId="67B4E478" w14:textId="2D44FEDE" w:rsidR="00F92432" w:rsidRPr="00C13BD6" w:rsidRDefault="003D1299" w:rsidP="004E6F70">
            <w:pPr>
              <w:pStyle w:val="BodyText"/>
              <w:rPr>
                <w:rFonts w:cs="Arial"/>
                <w:szCs w:val="22"/>
              </w:rPr>
            </w:pPr>
            <w:bookmarkStart w:id="1" w:name="_Hlk208513862"/>
            <w:r w:rsidRPr="00C13BD6">
              <w:rPr>
                <w:rFonts w:cs="Arial"/>
                <w:szCs w:val="22"/>
              </w:rPr>
              <w:t>7/</w:t>
            </w:r>
            <w:r w:rsidR="00F92432" w:rsidRPr="00C13BD6">
              <w:rPr>
                <w:rFonts w:cs="Arial"/>
                <w:szCs w:val="22"/>
              </w:rPr>
              <w:t>202</w:t>
            </w:r>
            <w:r w:rsidR="004F69FF" w:rsidRPr="00C13BD6">
              <w:rPr>
                <w:rFonts w:cs="Arial"/>
                <w:szCs w:val="22"/>
              </w:rPr>
              <w:t>2</w:t>
            </w:r>
            <w:r w:rsidR="00F92432" w:rsidRPr="00C13BD6">
              <w:rPr>
                <w:rFonts w:cs="Arial"/>
                <w:szCs w:val="22"/>
              </w:rPr>
              <w:t>–</w:t>
            </w:r>
            <w:r w:rsidRPr="00C13BD6">
              <w:rPr>
                <w:rFonts w:cs="Arial"/>
                <w:szCs w:val="22"/>
              </w:rPr>
              <w:t>6/</w:t>
            </w:r>
            <w:r w:rsidR="00F92432" w:rsidRPr="00C13BD6">
              <w:rPr>
                <w:rFonts w:cs="Arial"/>
                <w:szCs w:val="22"/>
              </w:rPr>
              <w:t>2023</w:t>
            </w:r>
          </w:p>
        </w:tc>
        <w:tc>
          <w:tcPr>
            <w:tcW w:w="7934" w:type="dxa"/>
          </w:tcPr>
          <w:p w14:paraId="21ADB220" w14:textId="05329A14" w:rsidR="00891BFD" w:rsidRPr="00C13BD6" w:rsidRDefault="00F92432" w:rsidP="004E6F70">
            <w:pPr>
              <w:pStyle w:val="BodyText"/>
              <w:rPr>
                <w:rFonts w:cs="Arial"/>
                <w:szCs w:val="22"/>
              </w:rPr>
            </w:pPr>
            <w:bookmarkStart w:id="2" w:name="_Hlk208513868"/>
            <w:r w:rsidRPr="00C13BD6">
              <w:rPr>
                <w:rFonts w:cs="Arial"/>
                <w:szCs w:val="22"/>
              </w:rPr>
              <w:t xml:space="preserve">Teaching </w:t>
            </w:r>
            <w:bookmarkEnd w:id="2"/>
            <w:r w:rsidR="00065D74" w:rsidRPr="00C13BD6">
              <w:rPr>
                <w:rFonts w:cs="Arial"/>
                <w:szCs w:val="22"/>
              </w:rPr>
              <w:t>and supervising interns</w:t>
            </w:r>
            <w:r w:rsidR="004F69FF" w:rsidRPr="00C13BD6">
              <w:rPr>
                <w:rFonts w:cs="Arial"/>
                <w:szCs w:val="22"/>
              </w:rPr>
              <w:t xml:space="preserve"> as an internal medicine resident</w:t>
            </w:r>
            <w:r w:rsidR="004D35FD">
              <w:rPr>
                <w:rFonts w:cs="Arial"/>
                <w:szCs w:val="22"/>
              </w:rPr>
              <w:t>, 6 months per year</w:t>
            </w:r>
            <w:r w:rsidR="004F69FF" w:rsidRPr="00C13BD6">
              <w:rPr>
                <w:rFonts w:cs="Arial"/>
                <w:szCs w:val="22"/>
              </w:rPr>
              <w:t>.</w:t>
            </w:r>
          </w:p>
        </w:tc>
      </w:tr>
      <w:bookmarkEnd w:id="1"/>
      <w:tr w:rsidR="00891BFD" w:rsidRPr="00C13BD6" w14:paraId="585B383C" w14:textId="77777777" w:rsidTr="00891BFD">
        <w:tc>
          <w:tcPr>
            <w:tcW w:w="1800" w:type="dxa"/>
          </w:tcPr>
          <w:p w14:paraId="413D47F8" w14:textId="492EB653" w:rsidR="00891BFD" w:rsidRPr="00C13BD6" w:rsidRDefault="00891BFD" w:rsidP="004E6F70">
            <w:pPr>
              <w:pStyle w:val="BodyText"/>
              <w:rPr>
                <w:rFonts w:cs="Arial"/>
                <w:szCs w:val="22"/>
              </w:rPr>
            </w:pPr>
            <w:r w:rsidRPr="00C13BD6">
              <w:rPr>
                <w:rFonts w:cs="Arial"/>
                <w:szCs w:val="22"/>
              </w:rPr>
              <w:t>7/2023–present</w:t>
            </w:r>
          </w:p>
        </w:tc>
        <w:tc>
          <w:tcPr>
            <w:tcW w:w="7934" w:type="dxa"/>
          </w:tcPr>
          <w:p w14:paraId="66FECF15" w14:textId="73CCFE41" w:rsidR="00891BFD" w:rsidRPr="00C13BD6" w:rsidRDefault="00891BFD" w:rsidP="004E6F70">
            <w:pPr>
              <w:pStyle w:val="BodyText"/>
              <w:rPr>
                <w:rFonts w:cs="Arial"/>
                <w:szCs w:val="22"/>
              </w:rPr>
            </w:pPr>
            <w:r w:rsidRPr="00C13BD6">
              <w:rPr>
                <w:rFonts w:cs="Arial"/>
                <w:szCs w:val="22"/>
              </w:rPr>
              <w:t xml:space="preserve">Teaching residents while on </w:t>
            </w:r>
            <w:r w:rsidR="00CE7BE6" w:rsidRPr="00C13BD6">
              <w:rPr>
                <w:rFonts w:cs="Arial"/>
                <w:szCs w:val="22"/>
              </w:rPr>
              <w:t>the inpatient endocrinology consult service</w:t>
            </w:r>
            <w:r w:rsidR="00CB10F6" w:rsidRPr="00C13BD6">
              <w:rPr>
                <w:rFonts w:cs="Arial"/>
                <w:szCs w:val="22"/>
              </w:rPr>
              <w:t xml:space="preserve"> as an endocrinology fellow</w:t>
            </w:r>
            <w:r w:rsidR="005A2057" w:rsidRPr="00C13BD6">
              <w:rPr>
                <w:rFonts w:cs="Arial"/>
                <w:szCs w:val="22"/>
              </w:rPr>
              <w:t xml:space="preserve">. Initially 4 months in 2023–2024 and </w:t>
            </w:r>
            <w:r w:rsidR="00CE07EE" w:rsidRPr="00C13BD6">
              <w:rPr>
                <w:rFonts w:cs="Arial"/>
                <w:szCs w:val="22"/>
              </w:rPr>
              <w:t>currently 1 month per year</w:t>
            </w:r>
            <w:r w:rsidR="005A2057" w:rsidRPr="00C13BD6">
              <w:rPr>
                <w:rFonts w:cs="Arial"/>
                <w:szCs w:val="22"/>
              </w:rPr>
              <w:t xml:space="preserve"> of inpatient service with teaching.</w:t>
            </w:r>
          </w:p>
        </w:tc>
      </w:tr>
    </w:tbl>
    <w:p w14:paraId="7114D34B" w14:textId="5FD6231B" w:rsidR="00CF6745" w:rsidRPr="00C13BD6" w:rsidRDefault="008A39C0" w:rsidP="00D83D00">
      <w:pPr>
        <w:pStyle w:val="Heading3"/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(c) </w:t>
      </w:r>
      <w:r w:rsidR="00616E2B" w:rsidRPr="00C13BD6">
        <w:rPr>
          <w:rFonts w:cs="Arial"/>
          <w:szCs w:val="22"/>
        </w:rPr>
        <w:t>Continuing medical education:</w:t>
      </w:r>
    </w:p>
    <w:p w14:paraId="7114D34C" w14:textId="1240FEBD" w:rsidR="00CF6745" w:rsidRPr="00C13BD6" w:rsidRDefault="00616E2B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None</w:t>
      </w:r>
      <w:r w:rsidR="008578C3" w:rsidRPr="00C13BD6">
        <w:rPr>
          <w:rFonts w:cs="Arial"/>
          <w:szCs w:val="22"/>
        </w:rPr>
        <w:t>.</w:t>
      </w:r>
    </w:p>
    <w:p w14:paraId="7114D34D" w14:textId="30B91E91" w:rsidR="00CF6745" w:rsidRPr="00C13BD6" w:rsidRDefault="008A39C0" w:rsidP="00D83D00">
      <w:pPr>
        <w:pStyle w:val="Heading3"/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(d) </w:t>
      </w:r>
      <w:r w:rsidR="00616E2B" w:rsidRPr="00C13BD6">
        <w:rPr>
          <w:rFonts w:cs="Arial"/>
          <w:szCs w:val="22"/>
        </w:rPr>
        <w:t>Other:</w:t>
      </w:r>
    </w:p>
    <w:p w14:paraId="4727A42A" w14:textId="58622D96" w:rsidR="00A777B8" w:rsidRPr="00C13BD6" w:rsidRDefault="00A777B8" w:rsidP="00A777B8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None.</w:t>
      </w:r>
    </w:p>
    <w:p w14:paraId="7114D358" w14:textId="15B82265" w:rsidR="00CF6745" w:rsidRPr="00C13BD6" w:rsidRDefault="00616E2B" w:rsidP="00D83D00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Research trainees:</w:t>
      </w:r>
    </w:p>
    <w:p w14:paraId="7114D359" w14:textId="77777777" w:rsidR="00CF6745" w:rsidRPr="00C13BD6" w:rsidRDefault="00616E2B" w:rsidP="00D83D00">
      <w:pPr>
        <w:pStyle w:val="Heading3"/>
        <w:rPr>
          <w:rFonts w:cs="Arial"/>
          <w:szCs w:val="22"/>
        </w:rPr>
      </w:pPr>
      <w:r w:rsidRPr="00C13BD6">
        <w:rPr>
          <w:rFonts w:cs="Arial"/>
          <w:szCs w:val="22"/>
        </w:rPr>
        <w:t>(a) High school students and teachers</w:t>
      </w:r>
    </w:p>
    <w:p w14:paraId="7114D35A" w14:textId="651CBA8C" w:rsidR="00CF6745" w:rsidRPr="00C13BD6" w:rsidRDefault="00616E2B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None</w:t>
      </w:r>
      <w:r w:rsidR="00634968" w:rsidRPr="00C13BD6">
        <w:rPr>
          <w:rFonts w:cs="Arial"/>
          <w:szCs w:val="22"/>
        </w:rPr>
        <w:t>.</w:t>
      </w:r>
    </w:p>
    <w:p w14:paraId="7114D35B" w14:textId="77777777" w:rsidR="00CF6745" w:rsidRPr="00C13BD6" w:rsidRDefault="00616E2B" w:rsidP="00D83D00">
      <w:pPr>
        <w:pStyle w:val="Heading3"/>
        <w:rPr>
          <w:rFonts w:cs="Arial"/>
          <w:szCs w:val="22"/>
        </w:rPr>
      </w:pPr>
      <w:r w:rsidRPr="00C13BD6">
        <w:rPr>
          <w:rFonts w:cs="Arial"/>
          <w:szCs w:val="22"/>
        </w:rPr>
        <w:t>(b) Undergraduate (B.A., B.S.)</w:t>
      </w:r>
    </w:p>
    <w:p w14:paraId="63E1E7CA" w14:textId="5EF587DE" w:rsidR="00A777B8" w:rsidRPr="00C13BD6" w:rsidRDefault="00210019" w:rsidP="00811434">
      <w:pPr>
        <w:pStyle w:val="BodyText"/>
        <w:spacing w:before="120"/>
        <w:rPr>
          <w:rFonts w:cs="Arial"/>
          <w:szCs w:val="22"/>
        </w:rPr>
      </w:pPr>
      <w:r>
        <w:rPr>
          <w:rFonts w:cs="Arial"/>
          <w:szCs w:val="22"/>
        </w:rPr>
        <w:t>As a graduate student i</w:t>
      </w:r>
      <w:r w:rsidR="002A58BB" w:rsidRPr="00C13BD6">
        <w:rPr>
          <w:rFonts w:cs="Arial"/>
          <w:szCs w:val="22"/>
        </w:rPr>
        <w:t xml:space="preserve">n the </w:t>
      </w:r>
      <w:r w:rsidR="005F3145" w:rsidRPr="00C13BD6">
        <w:rPr>
          <w:rFonts w:cs="Arial"/>
          <w:szCs w:val="22"/>
        </w:rPr>
        <w:t>Underhill</w:t>
      </w:r>
      <w:r w:rsidR="00A777B8" w:rsidRPr="00C13BD6">
        <w:rPr>
          <w:rFonts w:cs="Arial"/>
          <w:szCs w:val="22"/>
        </w:rPr>
        <w:t xml:space="preserve"> Laboratory</w:t>
      </w:r>
      <w:r w:rsidR="005F3145" w:rsidRPr="00C13BD6">
        <w:rPr>
          <w:rFonts w:cs="Arial"/>
          <w:szCs w:val="22"/>
        </w:rPr>
        <w:t xml:space="preserve"> at University of Illinois at Urbana–Champaign</w:t>
      </w:r>
      <w:r w:rsidR="00A777B8" w:rsidRPr="00C13BD6">
        <w:rPr>
          <w:rFonts w:cs="Arial"/>
          <w:szCs w:val="22"/>
        </w:rPr>
        <w:t>,</w:t>
      </w:r>
      <w:r w:rsidR="00222A5D" w:rsidRPr="00C13BD6">
        <w:rPr>
          <w:rFonts w:cs="Arial"/>
          <w:szCs w:val="22"/>
        </w:rPr>
        <w:t xml:space="preserve"> I </w:t>
      </w:r>
      <w:r w:rsidR="003950D0" w:rsidRPr="00C13BD6">
        <w:rPr>
          <w:rFonts w:cs="Arial"/>
          <w:szCs w:val="22"/>
        </w:rPr>
        <w:t xml:space="preserve">supervised </w:t>
      </w:r>
      <w:r w:rsidR="00474358" w:rsidRPr="00C13BD6">
        <w:rPr>
          <w:rFonts w:cs="Arial"/>
          <w:szCs w:val="22"/>
        </w:rPr>
        <w:t>the following</w:t>
      </w:r>
      <w:r w:rsidR="003950D0" w:rsidRPr="00C13BD6">
        <w:rPr>
          <w:rFonts w:cs="Arial"/>
          <w:szCs w:val="22"/>
        </w:rPr>
        <w:t xml:space="preserve"> </w:t>
      </w:r>
      <w:r w:rsidR="00A777B8" w:rsidRPr="00C13BD6">
        <w:rPr>
          <w:rFonts w:cs="Arial"/>
          <w:szCs w:val="22"/>
        </w:rPr>
        <w:t>undergraduate mentees</w:t>
      </w:r>
      <w:r w:rsidR="00474358" w:rsidRPr="00C13BD6">
        <w:rPr>
          <w:rFonts w:cs="Arial"/>
          <w:szCs w:val="22"/>
        </w:rPr>
        <w:t>:</w:t>
      </w:r>
    </w:p>
    <w:p w14:paraId="2F831DF3" w14:textId="5D165223" w:rsidR="00CB02C3" w:rsidRPr="00C13BD6" w:rsidRDefault="00CB02C3" w:rsidP="00474358">
      <w:pPr>
        <w:pStyle w:val="BodyText"/>
        <w:numPr>
          <w:ilvl w:val="0"/>
          <w:numId w:val="39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>Ravi Chandra Yada (2012–2015)</w:t>
      </w:r>
      <w:r w:rsidR="00C863EF" w:rsidRPr="00C13BD6">
        <w:rPr>
          <w:rFonts w:cs="Arial"/>
          <w:szCs w:val="22"/>
        </w:rPr>
        <w:t>.</w:t>
      </w:r>
    </w:p>
    <w:p w14:paraId="5420CA6B" w14:textId="3C59FB48" w:rsidR="00CB02C3" w:rsidRPr="00C13BD6" w:rsidRDefault="00CB02C3" w:rsidP="00474358">
      <w:pPr>
        <w:pStyle w:val="BodyText"/>
        <w:numPr>
          <w:ilvl w:val="0"/>
          <w:numId w:val="39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>Lauren Milling (2012–2015)</w:t>
      </w:r>
      <w:r w:rsidR="00C863EF" w:rsidRPr="00C13BD6">
        <w:rPr>
          <w:rFonts w:cs="Arial"/>
          <w:szCs w:val="22"/>
        </w:rPr>
        <w:t>.</w:t>
      </w:r>
    </w:p>
    <w:p w14:paraId="09024E3B" w14:textId="6309C894" w:rsidR="00CB02C3" w:rsidRPr="00C13BD6" w:rsidRDefault="00CB02C3" w:rsidP="00474358">
      <w:pPr>
        <w:pStyle w:val="BodyText"/>
        <w:numPr>
          <w:ilvl w:val="0"/>
          <w:numId w:val="39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>Alexander Loiben (2013–2014)</w:t>
      </w:r>
      <w:r w:rsidR="00C863EF" w:rsidRPr="00C13BD6">
        <w:rPr>
          <w:rFonts w:cs="Arial"/>
          <w:szCs w:val="22"/>
        </w:rPr>
        <w:t>.</w:t>
      </w:r>
    </w:p>
    <w:p w14:paraId="387FDB5E" w14:textId="0960C44A" w:rsidR="00CB02C3" w:rsidRPr="00C13BD6" w:rsidRDefault="00CB02C3" w:rsidP="00474358">
      <w:pPr>
        <w:pStyle w:val="BodyText"/>
        <w:numPr>
          <w:ilvl w:val="0"/>
          <w:numId w:val="39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>Aneysha Bhat (2013–2014)</w:t>
      </w:r>
      <w:r w:rsidR="00C863EF" w:rsidRPr="00C13BD6">
        <w:rPr>
          <w:rFonts w:cs="Arial"/>
          <w:szCs w:val="22"/>
        </w:rPr>
        <w:t>.</w:t>
      </w:r>
    </w:p>
    <w:p w14:paraId="1C0F65E4" w14:textId="6056FB49" w:rsidR="00CB02C3" w:rsidRPr="00C13BD6" w:rsidRDefault="00CB02C3" w:rsidP="00474358">
      <w:pPr>
        <w:pStyle w:val="BodyText"/>
        <w:numPr>
          <w:ilvl w:val="0"/>
          <w:numId w:val="39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>David Kukla (2014–2015)</w:t>
      </w:r>
      <w:r w:rsidR="00C863EF" w:rsidRPr="00C13BD6">
        <w:rPr>
          <w:rFonts w:cs="Arial"/>
          <w:szCs w:val="22"/>
        </w:rPr>
        <w:t>.</w:t>
      </w:r>
    </w:p>
    <w:p w14:paraId="15C48CE9" w14:textId="03F30666" w:rsidR="00CB02C3" w:rsidRPr="00C13BD6" w:rsidRDefault="00CB02C3" w:rsidP="00474358">
      <w:pPr>
        <w:pStyle w:val="BodyText"/>
        <w:numPr>
          <w:ilvl w:val="0"/>
          <w:numId w:val="39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>Megan Griebel (2014–2016)</w:t>
      </w:r>
      <w:r w:rsidR="00C863EF" w:rsidRPr="00C13BD6">
        <w:rPr>
          <w:rFonts w:cs="Arial"/>
          <w:szCs w:val="22"/>
        </w:rPr>
        <w:t>.</w:t>
      </w:r>
    </w:p>
    <w:p w14:paraId="305E7926" w14:textId="1D493998" w:rsidR="00CB02C3" w:rsidRPr="00C13BD6" w:rsidRDefault="00CB02C3" w:rsidP="00474358">
      <w:pPr>
        <w:pStyle w:val="BodyText"/>
        <w:numPr>
          <w:ilvl w:val="0"/>
          <w:numId w:val="39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>Erik Anderson (2014–2016)</w:t>
      </w:r>
      <w:r w:rsidR="00C863EF" w:rsidRPr="00C13BD6">
        <w:rPr>
          <w:rFonts w:cs="Arial"/>
          <w:szCs w:val="22"/>
        </w:rPr>
        <w:t>.</w:t>
      </w:r>
    </w:p>
    <w:p w14:paraId="335A6A9E" w14:textId="1D333B16" w:rsidR="00CB02C3" w:rsidRPr="00C13BD6" w:rsidRDefault="00CB02C3" w:rsidP="00474358">
      <w:pPr>
        <w:pStyle w:val="BodyText"/>
        <w:numPr>
          <w:ilvl w:val="0"/>
          <w:numId w:val="39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>Benjamin Streeter (2014–2016)</w:t>
      </w:r>
      <w:r w:rsidR="00C863EF" w:rsidRPr="00C13BD6">
        <w:rPr>
          <w:rFonts w:cs="Arial"/>
          <w:szCs w:val="22"/>
        </w:rPr>
        <w:t>.</w:t>
      </w:r>
    </w:p>
    <w:p w14:paraId="2EB8F1A3" w14:textId="516E7DAD" w:rsidR="00CB02C3" w:rsidRPr="00C13BD6" w:rsidRDefault="00CB02C3" w:rsidP="00474358">
      <w:pPr>
        <w:pStyle w:val="BodyText"/>
        <w:numPr>
          <w:ilvl w:val="0"/>
          <w:numId w:val="39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>Nicholas Cornell (2014–2017)</w:t>
      </w:r>
      <w:r w:rsidR="00C863EF" w:rsidRPr="00C13BD6">
        <w:rPr>
          <w:rFonts w:cs="Arial"/>
          <w:szCs w:val="22"/>
        </w:rPr>
        <w:t>.</w:t>
      </w:r>
    </w:p>
    <w:p w14:paraId="081AC393" w14:textId="16D84904" w:rsidR="00CB02C3" w:rsidRPr="00C13BD6" w:rsidRDefault="00CB02C3" w:rsidP="00474358">
      <w:pPr>
        <w:pStyle w:val="BodyText"/>
        <w:numPr>
          <w:ilvl w:val="0"/>
          <w:numId w:val="39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>Divya Joshi (2015)</w:t>
      </w:r>
      <w:r w:rsidR="00C863EF" w:rsidRPr="00C13BD6">
        <w:rPr>
          <w:rFonts w:cs="Arial"/>
          <w:szCs w:val="22"/>
        </w:rPr>
        <w:t>.</w:t>
      </w:r>
    </w:p>
    <w:p w14:paraId="05CD8B37" w14:textId="0275D8E7" w:rsidR="00CB02C3" w:rsidRPr="00C13BD6" w:rsidRDefault="00CB02C3" w:rsidP="00474358">
      <w:pPr>
        <w:pStyle w:val="BodyText"/>
        <w:numPr>
          <w:ilvl w:val="0"/>
          <w:numId w:val="39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>Anna Whelan (2015–2016)</w:t>
      </w:r>
      <w:r w:rsidR="00C863EF" w:rsidRPr="00C13BD6">
        <w:rPr>
          <w:rFonts w:cs="Arial"/>
          <w:szCs w:val="22"/>
        </w:rPr>
        <w:t>.</w:t>
      </w:r>
    </w:p>
    <w:p w14:paraId="396261EC" w14:textId="7E0EBD1A" w:rsidR="00CB02C3" w:rsidRPr="00C13BD6" w:rsidRDefault="00CB02C3" w:rsidP="00474358">
      <w:pPr>
        <w:pStyle w:val="BodyText"/>
        <w:numPr>
          <w:ilvl w:val="0"/>
          <w:numId w:val="39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>Lauren Sargeant (2015–2017)</w:t>
      </w:r>
      <w:r w:rsidR="00C863EF" w:rsidRPr="00C13BD6">
        <w:rPr>
          <w:rFonts w:cs="Arial"/>
          <w:szCs w:val="22"/>
        </w:rPr>
        <w:t>.</w:t>
      </w:r>
    </w:p>
    <w:p w14:paraId="0E536345" w14:textId="16798E94" w:rsidR="00CB02C3" w:rsidRPr="00C13BD6" w:rsidRDefault="00CB02C3" w:rsidP="00474358">
      <w:pPr>
        <w:pStyle w:val="BodyText"/>
        <w:numPr>
          <w:ilvl w:val="0"/>
          <w:numId w:val="39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>Sameed Jamil (2015–2017)</w:t>
      </w:r>
      <w:r w:rsidR="00C863EF" w:rsidRPr="00C13BD6">
        <w:rPr>
          <w:rFonts w:cs="Arial"/>
          <w:szCs w:val="22"/>
        </w:rPr>
        <w:t>.</w:t>
      </w:r>
    </w:p>
    <w:p w14:paraId="3013FAF3" w14:textId="505F7F09" w:rsidR="00CB02C3" w:rsidRPr="00C13BD6" w:rsidRDefault="00CB02C3" w:rsidP="00474358">
      <w:pPr>
        <w:pStyle w:val="BodyText"/>
        <w:numPr>
          <w:ilvl w:val="0"/>
          <w:numId w:val="39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>Ravi Malpani (2015–2016)</w:t>
      </w:r>
      <w:r w:rsidR="00C863EF" w:rsidRPr="00C13BD6">
        <w:rPr>
          <w:rFonts w:cs="Arial"/>
          <w:szCs w:val="22"/>
        </w:rPr>
        <w:t>.</w:t>
      </w:r>
    </w:p>
    <w:p w14:paraId="098F0E8D" w14:textId="7A9949BE" w:rsidR="00CB02C3" w:rsidRPr="00C13BD6" w:rsidRDefault="00CB02C3" w:rsidP="00474358">
      <w:pPr>
        <w:pStyle w:val="BodyText"/>
        <w:numPr>
          <w:ilvl w:val="0"/>
          <w:numId w:val="39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>Ashley Dettlaff (2016)</w:t>
      </w:r>
      <w:r w:rsidR="00C863EF" w:rsidRPr="00C13BD6">
        <w:rPr>
          <w:rFonts w:cs="Arial"/>
          <w:szCs w:val="22"/>
        </w:rPr>
        <w:t>.</w:t>
      </w:r>
    </w:p>
    <w:p w14:paraId="56D5D554" w14:textId="65AEF72E" w:rsidR="00CB02C3" w:rsidRPr="00C13BD6" w:rsidRDefault="00CB02C3" w:rsidP="00474358">
      <w:pPr>
        <w:pStyle w:val="BodyText"/>
        <w:numPr>
          <w:ilvl w:val="0"/>
          <w:numId w:val="39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>M. Elizabeth Rhode (2016)</w:t>
      </w:r>
      <w:r w:rsidR="00C863EF" w:rsidRPr="00C13BD6">
        <w:rPr>
          <w:rFonts w:cs="Arial"/>
          <w:szCs w:val="22"/>
        </w:rPr>
        <w:t>.</w:t>
      </w:r>
    </w:p>
    <w:p w14:paraId="3C5E3F6A" w14:textId="1E3A8E90" w:rsidR="00474358" w:rsidRPr="00C13BD6" w:rsidRDefault="00210019" w:rsidP="00811434">
      <w:pPr>
        <w:pStyle w:val="BodyText"/>
        <w:spacing w:before="120"/>
        <w:rPr>
          <w:rFonts w:cs="Arial"/>
          <w:szCs w:val="22"/>
        </w:rPr>
      </w:pPr>
      <w:r>
        <w:rPr>
          <w:rFonts w:cs="Arial"/>
          <w:szCs w:val="22"/>
        </w:rPr>
        <w:t>As a postdoctoral fellow i</w:t>
      </w:r>
      <w:r w:rsidR="005F3145" w:rsidRPr="00C13BD6">
        <w:rPr>
          <w:rFonts w:cs="Arial"/>
          <w:szCs w:val="22"/>
        </w:rPr>
        <w:t>n the Mirmira Laboratory at University of Chicago, I supervised the following undergraduate mentees:</w:t>
      </w:r>
    </w:p>
    <w:p w14:paraId="5999B69D" w14:textId="34AB72D5" w:rsidR="005F3145" w:rsidRPr="00C13BD6" w:rsidRDefault="00474358" w:rsidP="00474358">
      <w:pPr>
        <w:pStyle w:val="BodyText"/>
        <w:numPr>
          <w:ilvl w:val="0"/>
          <w:numId w:val="39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>Hailey Boyle (2025).</w:t>
      </w:r>
    </w:p>
    <w:p w14:paraId="7114D35D" w14:textId="3F8B1C9F" w:rsidR="00CF6745" w:rsidRPr="00C13BD6" w:rsidRDefault="00616E2B" w:rsidP="00CB02C3">
      <w:pPr>
        <w:pStyle w:val="Heading3"/>
        <w:rPr>
          <w:rFonts w:cs="Arial"/>
          <w:szCs w:val="22"/>
        </w:rPr>
      </w:pPr>
      <w:r w:rsidRPr="00C13BD6">
        <w:rPr>
          <w:rFonts w:cs="Arial"/>
          <w:szCs w:val="22"/>
        </w:rPr>
        <w:t>(c) Medical (M.D.)</w:t>
      </w:r>
    </w:p>
    <w:p w14:paraId="7114D35E" w14:textId="206AC926" w:rsidR="00CF6745" w:rsidRPr="00C13BD6" w:rsidRDefault="00616E2B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None</w:t>
      </w:r>
      <w:r w:rsidR="00AF5240" w:rsidRPr="00C13BD6">
        <w:rPr>
          <w:rFonts w:cs="Arial"/>
          <w:szCs w:val="22"/>
        </w:rPr>
        <w:t>.</w:t>
      </w:r>
    </w:p>
    <w:p w14:paraId="7114D35F" w14:textId="77777777" w:rsidR="00CF6745" w:rsidRPr="00C13BD6" w:rsidRDefault="00616E2B" w:rsidP="00D83D00">
      <w:pPr>
        <w:pStyle w:val="Heading3"/>
        <w:rPr>
          <w:rFonts w:cs="Arial"/>
          <w:szCs w:val="22"/>
        </w:rPr>
      </w:pPr>
      <w:r w:rsidRPr="00C13BD6">
        <w:rPr>
          <w:rFonts w:cs="Arial"/>
          <w:szCs w:val="22"/>
        </w:rPr>
        <w:lastRenderedPageBreak/>
        <w:t>(d) Graduate (Ph.D.)</w:t>
      </w:r>
    </w:p>
    <w:p w14:paraId="7114D360" w14:textId="3BB36E1A" w:rsidR="00CF6745" w:rsidRPr="00C13BD6" w:rsidRDefault="00616E2B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None</w:t>
      </w:r>
      <w:r w:rsidR="00AF5240" w:rsidRPr="00C13BD6">
        <w:rPr>
          <w:rFonts w:cs="Arial"/>
          <w:szCs w:val="22"/>
        </w:rPr>
        <w:t>.</w:t>
      </w:r>
    </w:p>
    <w:p w14:paraId="7114D361" w14:textId="77777777" w:rsidR="00CF6745" w:rsidRPr="00C13BD6" w:rsidRDefault="00616E2B" w:rsidP="00D83D00">
      <w:pPr>
        <w:pStyle w:val="Heading3"/>
        <w:rPr>
          <w:rFonts w:cs="Arial"/>
          <w:szCs w:val="22"/>
        </w:rPr>
      </w:pPr>
      <w:r w:rsidRPr="00C13BD6">
        <w:rPr>
          <w:rFonts w:cs="Arial"/>
          <w:szCs w:val="22"/>
        </w:rPr>
        <w:t>(e) Postdoctoral</w:t>
      </w:r>
    </w:p>
    <w:p w14:paraId="7114D362" w14:textId="6D93B73B" w:rsidR="00CF6745" w:rsidRPr="00C13BD6" w:rsidRDefault="00616E2B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None</w:t>
      </w:r>
      <w:r w:rsidR="00AF5240" w:rsidRPr="00C13BD6">
        <w:rPr>
          <w:rFonts w:cs="Arial"/>
          <w:szCs w:val="22"/>
        </w:rPr>
        <w:t>.</w:t>
      </w:r>
    </w:p>
    <w:p w14:paraId="7114D363" w14:textId="77777777" w:rsidR="00CF6745" w:rsidRPr="00C13BD6" w:rsidRDefault="00616E2B" w:rsidP="00D83D00">
      <w:pPr>
        <w:pStyle w:val="Heading3"/>
        <w:rPr>
          <w:rFonts w:cs="Arial"/>
          <w:szCs w:val="22"/>
        </w:rPr>
      </w:pPr>
      <w:r w:rsidRPr="00C13BD6">
        <w:rPr>
          <w:rFonts w:cs="Arial"/>
          <w:szCs w:val="22"/>
        </w:rPr>
        <w:t>(f) Other</w:t>
      </w:r>
    </w:p>
    <w:p w14:paraId="7114D364" w14:textId="56E93FD4" w:rsidR="00CF6745" w:rsidRPr="00C13BD6" w:rsidRDefault="00616E2B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None</w:t>
      </w:r>
      <w:r w:rsidR="00AF5240" w:rsidRPr="00C13BD6">
        <w:rPr>
          <w:rFonts w:cs="Arial"/>
          <w:szCs w:val="22"/>
        </w:rPr>
        <w:t>.</w:t>
      </w:r>
    </w:p>
    <w:p w14:paraId="7114D365" w14:textId="77777777" w:rsidR="00CF6745" w:rsidRPr="00C13BD6" w:rsidRDefault="00616E2B" w:rsidP="00D83D00">
      <w:pPr>
        <w:pStyle w:val="Heading1"/>
        <w:rPr>
          <w:rFonts w:cs="Arial"/>
          <w:szCs w:val="22"/>
        </w:rPr>
      </w:pPr>
      <w:r w:rsidRPr="00C13BD6">
        <w:rPr>
          <w:rFonts w:cs="Arial"/>
          <w:szCs w:val="22"/>
        </w:rPr>
        <w:t>CLINICAL</w:t>
      </w: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1781"/>
        <w:gridCol w:w="7795"/>
      </w:tblGrid>
      <w:tr w:rsidR="0022138E" w:rsidRPr="00C13BD6" w14:paraId="4C5F1F1A" w14:textId="77777777" w:rsidTr="00F87BA4">
        <w:tc>
          <w:tcPr>
            <w:tcW w:w="1781" w:type="dxa"/>
          </w:tcPr>
          <w:p w14:paraId="4AAFC146" w14:textId="5D10FFB1" w:rsidR="0022138E" w:rsidRPr="00C13BD6" w:rsidRDefault="0022138E" w:rsidP="004E6F70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2023–present</w:t>
            </w:r>
          </w:p>
        </w:tc>
        <w:tc>
          <w:tcPr>
            <w:tcW w:w="7795" w:type="dxa"/>
          </w:tcPr>
          <w:p w14:paraId="6C7EBC58" w14:textId="70DB0646" w:rsidR="00EF7977" w:rsidRPr="00C13BD6" w:rsidRDefault="009F4294" w:rsidP="004E6F70">
            <w:pPr>
              <w:pStyle w:val="BodyText"/>
              <w:rPr>
                <w:rFonts w:cs="Arial"/>
                <w:szCs w:val="22"/>
              </w:rPr>
            </w:pPr>
            <w:r w:rsidRPr="00C13BD6">
              <w:rPr>
                <w:rFonts w:cs="Arial"/>
                <w:szCs w:val="22"/>
              </w:rPr>
              <w:t>Endocrinology Consult Service</w:t>
            </w:r>
          </w:p>
          <w:p w14:paraId="539669A1" w14:textId="693F1598" w:rsidR="009F4294" w:rsidRPr="00C13BD6" w:rsidRDefault="00D87947" w:rsidP="004E6F70">
            <w:pPr>
              <w:pStyle w:val="BodyText"/>
              <w:rPr>
                <w:rFonts w:cs="Arial"/>
                <w:szCs w:val="22"/>
              </w:rPr>
            </w:pPr>
            <w:r w:rsidRPr="00C13BD6">
              <w:rPr>
                <w:rFonts w:cs="Arial"/>
                <w:szCs w:val="22"/>
              </w:rPr>
              <w:t>(</w:t>
            </w:r>
            <w:r w:rsidR="00C2430A">
              <w:rPr>
                <w:rFonts w:cs="Arial"/>
                <w:szCs w:val="22"/>
              </w:rPr>
              <w:t xml:space="preserve">as fellow; </w:t>
            </w:r>
            <w:r w:rsidR="009F4294" w:rsidRPr="00C13BD6">
              <w:rPr>
                <w:rFonts w:cs="Arial"/>
                <w:szCs w:val="22"/>
              </w:rPr>
              <w:t>4 months in 2023–2024, subsequently 1 month per year</w:t>
            </w:r>
            <w:r w:rsidRPr="00C13BD6">
              <w:rPr>
                <w:rFonts w:cs="Arial"/>
                <w:szCs w:val="22"/>
              </w:rPr>
              <w:t>)</w:t>
            </w:r>
            <w:r w:rsidR="00EF7977" w:rsidRPr="00C13BD6">
              <w:rPr>
                <w:rFonts w:cs="Arial"/>
                <w:szCs w:val="22"/>
              </w:rPr>
              <w:t>.</w:t>
            </w:r>
          </w:p>
        </w:tc>
      </w:tr>
      <w:tr w:rsidR="00F87BA4" w:rsidRPr="00C13BD6" w14:paraId="58EB5F21" w14:textId="77777777" w:rsidTr="00F87BA4">
        <w:tc>
          <w:tcPr>
            <w:tcW w:w="1781" w:type="dxa"/>
          </w:tcPr>
          <w:p w14:paraId="267D9382" w14:textId="4FFE1120" w:rsidR="00F87BA4" w:rsidRPr="00C13BD6" w:rsidRDefault="00F87BA4" w:rsidP="004E6F70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2023–present</w:t>
            </w:r>
          </w:p>
        </w:tc>
        <w:tc>
          <w:tcPr>
            <w:tcW w:w="7795" w:type="dxa"/>
          </w:tcPr>
          <w:p w14:paraId="3A909D32" w14:textId="6C578869" w:rsidR="00F87BA4" w:rsidRPr="00C13BD6" w:rsidRDefault="00F87BA4" w:rsidP="004E6F70">
            <w:pPr>
              <w:pStyle w:val="BodyText"/>
              <w:rPr>
                <w:rFonts w:cs="Arial"/>
                <w:szCs w:val="22"/>
              </w:rPr>
            </w:pPr>
            <w:r w:rsidRPr="00C13BD6">
              <w:rPr>
                <w:rFonts w:cs="Arial"/>
                <w:szCs w:val="22"/>
              </w:rPr>
              <w:t>Endocrinology Clinic</w:t>
            </w:r>
            <w:r w:rsidR="00EF7977" w:rsidRPr="00C13BD6">
              <w:rPr>
                <w:rFonts w:cs="Arial"/>
                <w:szCs w:val="22"/>
              </w:rPr>
              <w:t xml:space="preserve"> </w:t>
            </w:r>
            <w:r w:rsidRPr="00C13BD6">
              <w:rPr>
                <w:rFonts w:cs="Arial"/>
                <w:szCs w:val="22"/>
              </w:rPr>
              <w:t>(</w:t>
            </w:r>
            <w:r w:rsidR="00C2430A">
              <w:rPr>
                <w:rFonts w:cs="Arial"/>
                <w:szCs w:val="22"/>
              </w:rPr>
              <w:t xml:space="preserve">as fellow; </w:t>
            </w:r>
            <w:r w:rsidRPr="00C13BD6">
              <w:rPr>
                <w:rFonts w:cs="Arial"/>
                <w:szCs w:val="22"/>
              </w:rPr>
              <w:t>1 half-day per week</w:t>
            </w:r>
            <w:r w:rsidR="003D0B74" w:rsidRPr="00C13BD6">
              <w:rPr>
                <w:rFonts w:cs="Arial"/>
                <w:szCs w:val="22"/>
              </w:rPr>
              <w:t>, 11 months per year</w:t>
            </w:r>
            <w:r w:rsidRPr="00C13BD6">
              <w:rPr>
                <w:rFonts w:cs="Arial"/>
                <w:szCs w:val="22"/>
              </w:rPr>
              <w:t>)</w:t>
            </w:r>
            <w:r w:rsidR="00EF7977" w:rsidRPr="00C13BD6">
              <w:rPr>
                <w:rFonts w:cs="Arial"/>
                <w:szCs w:val="22"/>
              </w:rPr>
              <w:t>.</w:t>
            </w:r>
          </w:p>
        </w:tc>
      </w:tr>
    </w:tbl>
    <w:p w14:paraId="7114D367" w14:textId="6CDF184A" w:rsidR="00CF6745" w:rsidRPr="00C13BD6" w:rsidRDefault="00616E2B" w:rsidP="00D83D00">
      <w:pPr>
        <w:pStyle w:val="Heading1"/>
        <w:rPr>
          <w:rFonts w:cs="Arial"/>
          <w:szCs w:val="22"/>
        </w:rPr>
      </w:pPr>
      <w:r w:rsidRPr="00C13BD6">
        <w:rPr>
          <w:rFonts w:cs="Arial"/>
          <w:szCs w:val="22"/>
        </w:rPr>
        <w:t>SERVICE</w:t>
      </w:r>
    </w:p>
    <w:p w14:paraId="7114D368" w14:textId="77777777" w:rsidR="00CF6745" w:rsidRPr="00C13BD6" w:rsidRDefault="00616E2B">
      <w:pPr>
        <w:pStyle w:val="BodyText"/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University of Chicago</w:t>
      </w:r>
    </w:p>
    <w:p w14:paraId="7114D369" w14:textId="4771BFF9" w:rsidR="00CF6745" w:rsidRDefault="00616E2B" w:rsidP="009E5A12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Committee membership:</w:t>
      </w:r>
    </w:p>
    <w:p w14:paraId="650468E4" w14:textId="4152C65D" w:rsidR="003C5014" w:rsidRPr="003C5014" w:rsidRDefault="003C5014" w:rsidP="003C5014">
      <w:pPr>
        <w:pStyle w:val="BodyText"/>
      </w:pPr>
      <w:r>
        <w:t>None.</w:t>
      </w:r>
    </w:p>
    <w:p w14:paraId="7114D36B" w14:textId="4771BFF9" w:rsidR="00CF6745" w:rsidRPr="00C13BD6" w:rsidRDefault="00616E2B" w:rsidP="009E5A12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Leadership:</w:t>
      </w:r>
    </w:p>
    <w:p w14:paraId="7114D36C" w14:textId="375CD0D0" w:rsidR="00CF6745" w:rsidRPr="00C13BD6" w:rsidRDefault="00616E2B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None</w:t>
      </w:r>
      <w:r w:rsidR="00222C0A" w:rsidRPr="00C13BD6">
        <w:rPr>
          <w:rFonts w:cs="Arial"/>
          <w:szCs w:val="22"/>
        </w:rPr>
        <w:t>.</w:t>
      </w:r>
    </w:p>
    <w:p w14:paraId="7114D36D" w14:textId="77777777" w:rsidR="00CF6745" w:rsidRPr="00C13BD6" w:rsidRDefault="00616E2B" w:rsidP="009E5A12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Other:</w:t>
      </w: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1780"/>
        <w:gridCol w:w="7796"/>
      </w:tblGrid>
      <w:tr w:rsidR="003C5014" w:rsidRPr="00C13BD6" w14:paraId="6B6A2D3D" w14:textId="77777777" w:rsidTr="004E6F70">
        <w:tc>
          <w:tcPr>
            <w:tcW w:w="1800" w:type="dxa"/>
          </w:tcPr>
          <w:p w14:paraId="16A9FC66" w14:textId="77777777" w:rsidR="003C5014" w:rsidRPr="00C13BD6" w:rsidRDefault="003C5014" w:rsidP="004E6F70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2024–present</w:t>
            </w:r>
          </w:p>
        </w:tc>
        <w:tc>
          <w:tcPr>
            <w:tcW w:w="7934" w:type="dxa"/>
          </w:tcPr>
          <w:p w14:paraId="1244908D" w14:textId="77777777" w:rsidR="003C5014" w:rsidRPr="00C13BD6" w:rsidRDefault="003C5014" w:rsidP="004E6F70">
            <w:pPr>
              <w:pStyle w:val="BodyText"/>
              <w:rPr>
                <w:rFonts w:cs="Arial"/>
                <w:szCs w:val="22"/>
              </w:rPr>
            </w:pPr>
            <w:r w:rsidRPr="00C13BD6">
              <w:rPr>
                <w:rFonts w:cs="Arial"/>
                <w:szCs w:val="22"/>
              </w:rPr>
              <w:t>Underrepresented in Medicine Mentorship Program, Mentor.</w:t>
            </w:r>
          </w:p>
        </w:tc>
      </w:tr>
    </w:tbl>
    <w:p w14:paraId="7114D36F" w14:textId="77777777" w:rsidR="00CF6745" w:rsidRPr="00C13BD6" w:rsidRDefault="00616E2B" w:rsidP="00D248AA">
      <w:pPr>
        <w:pStyle w:val="BodyText"/>
        <w:spacing w:before="120"/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University of Illinois College of Medicine</w:t>
      </w:r>
    </w:p>
    <w:p w14:paraId="7114D370" w14:textId="77777777" w:rsidR="00CF6745" w:rsidRPr="00C13BD6" w:rsidRDefault="00616E2B" w:rsidP="009E5A12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Committee membership:</w:t>
      </w:r>
    </w:p>
    <w:tbl>
      <w:tblPr>
        <w:tblStyle w:val="PlainTable3"/>
        <w:tblW w:w="9734" w:type="dxa"/>
        <w:tblLayout w:type="fixed"/>
        <w:tblLook w:val="0600" w:firstRow="0" w:lastRow="0" w:firstColumn="0" w:lastColumn="0" w:noHBand="1" w:noVBand="1"/>
      </w:tblPr>
      <w:tblGrid>
        <w:gridCol w:w="1800"/>
        <w:gridCol w:w="7934"/>
      </w:tblGrid>
      <w:tr w:rsidR="00222C0A" w:rsidRPr="00C13BD6" w14:paraId="135EBEEF" w14:textId="77777777" w:rsidTr="00222C0A">
        <w:tc>
          <w:tcPr>
            <w:tcW w:w="1800" w:type="dxa"/>
          </w:tcPr>
          <w:p w14:paraId="18E2678F" w14:textId="319AA9FB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2012–2014</w:t>
            </w:r>
          </w:p>
        </w:tc>
        <w:tc>
          <w:tcPr>
            <w:tcW w:w="7934" w:type="dxa"/>
          </w:tcPr>
          <w:p w14:paraId="40ABA17B" w14:textId="139E8A86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Medical Scholars Program Retreat Committee</w:t>
            </w:r>
            <w:r w:rsidR="00EF7977" w:rsidRPr="00C13BD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22C0A" w:rsidRPr="00C13BD6" w14:paraId="2EF1412A" w14:textId="77777777" w:rsidTr="00222C0A">
        <w:tc>
          <w:tcPr>
            <w:tcW w:w="1800" w:type="dxa"/>
          </w:tcPr>
          <w:p w14:paraId="390283F5" w14:textId="3E6BA64C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2016–2017</w:t>
            </w:r>
          </w:p>
        </w:tc>
        <w:tc>
          <w:tcPr>
            <w:tcW w:w="7934" w:type="dxa"/>
          </w:tcPr>
          <w:p w14:paraId="308D11D1" w14:textId="4434FDB6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Medical Scholars Program Advisory Committee</w:t>
            </w:r>
            <w:r w:rsidR="00EF7977" w:rsidRPr="00C13BD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22C0A" w:rsidRPr="00C13BD6" w14:paraId="60C3DE3E" w14:textId="77777777" w:rsidTr="00222C0A">
        <w:tc>
          <w:tcPr>
            <w:tcW w:w="1800" w:type="dxa"/>
          </w:tcPr>
          <w:p w14:paraId="390F4B16" w14:textId="56319656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2017</w:t>
            </w:r>
          </w:p>
        </w:tc>
        <w:tc>
          <w:tcPr>
            <w:tcW w:w="7934" w:type="dxa"/>
          </w:tcPr>
          <w:p w14:paraId="1AC05D31" w14:textId="3FF61073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Medical Scholars Program Steering Committee</w:t>
            </w:r>
            <w:r w:rsidR="00EF7977" w:rsidRPr="00C13BD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22C0A" w:rsidRPr="00C13BD6" w14:paraId="6C32716B" w14:textId="77777777" w:rsidTr="00222C0A">
        <w:tc>
          <w:tcPr>
            <w:tcW w:w="1800" w:type="dxa"/>
          </w:tcPr>
          <w:p w14:paraId="16D69789" w14:textId="73D4ED3F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2017–2018</w:t>
            </w:r>
          </w:p>
        </w:tc>
        <w:tc>
          <w:tcPr>
            <w:tcW w:w="7934" w:type="dxa"/>
          </w:tcPr>
          <w:p w14:paraId="418025AF" w14:textId="5DE1E3BE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USMLE Preparedness Committee</w:t>
            </w:r>
            <w:r w:rsidR="00EF7977" w:rsidRPr="00C13BD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22C0A" w:rsidRPr="00C13BD6" w14:paraId="2D7EE364" w14:textId="77777777" w:rsidTr="00222C0A">
        <w:tc>
          <w:tcPr>
            <w:tcW w:w="1800" w:type="dxa"/>
          </w:tcPr>
          <w:p w14:paraId="49D77385" w14:textId="77E63C61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2017–2021</w:t>
            </w:r>
          </w:p>
        </w:tc>
        <w:tc>
          <w:tcPr>
            <w:tcW w:w="7934" w:type="dxa"/>
          </w:tcPr>
          <w:p w14:paraId="6977A196" w14:textId="3DEAD34E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Student Curricular Board</w:t>
            </w:r>
            <w:r w:rsidR="00EF7977" w:rsidRPr="00C13BD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22C0A" w:rsidRPr="00C13BD6" w14:paraId="11A0076F" w14:textId="77777777" w:rsidTr="00222C0A">
        <w:tc>
          <w:tcPr>
            <w:tcW w:w="1800" w:type="dxa"/>
          </w:tcPr>
          <w:p w14:paraId="12208BBF" w14:textId="1834161E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2017</w:t>
            </w:r>
          </w:p>
        </w:tc>
        <w:tc>
          <w:tcPr>
            <w:tcW w:w="7934" w:type="dxa"/>
          </w:tcPr>
          <w:p w14:paraId="059DCBCC" w14:textId="74B924A9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Teaching Excellence and Innovation in Education Award Selection Committee</w:t>
            </w:r>
            <w:r w:rsidR="00EF7977" w:rsidRPr="00C13BD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22C0A" w:rsidRPr="00C13BD6" w14:paraId="78EBF48B" w14:textId="77777777" w:rsidTr="00222C0A">
        <w:tc>
          <w:tcPr>
            <w:tcW w:w="1800" w:type="dxa"/>
          </w:tcPr>
          <w:p w14:paraId="18362102" w14:textId="0F118357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2018–2019</w:t>
            </w:r>
          </w:p>
        </w:tc>
        <w:tc>
          <w:tcPr>
            <w:tcW w:w="7934" w:type="dxa"/>
          </w:tcPr>
          <w:p w14:paraId="6F9D1999" w14:textId="7DC0529D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Search Committee for Associate Dean of Curriculum</w:t>
            </w:r>
            <w:r w:rsidR="00EF7977" w:rsidRPr="00C13BD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114D378" w14:textId="005862CE" w:rsidR="00CF6745" w:rsidRPr="00C13BD6" w:rsidRDefault="00616E2B" w:rsidP="009E5A12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Leadership:</w:t>
      </w:r>
    </w:p>
    <w:tbl>
      <w:tblPr>
        <w:tblStyle w:val="PlainTable3"/>
        <w:tblW w:w="9734" w:type="dxa"/>
        <w:tblLayout w:type="fixed"/>
        <w:tblLook w:val="0600" w:firstRow="0" w:lastRow="0" w:firstColumn="0" w:lastColumn="0" w:noHBand="1" w:noVBand="1"/>
      </w:tblPr>
      <w:tblGrid>
        <w:gridCol w:w="1800"/>
        <w:gridCol w:w="7934"/>
      </w:tblGrid>
      <w:tr w:rsidR="00222C0A" w:rsidRPr="00C13BD6" w14:paraId="7B97D71C" w14:textId="77777777" w:rsidTr="00222C0A">
        <w:tc>
          <w:tcPr>
            <w:tcW w:w="1800" w:type="dxa"/>
          </w:tcPr>
          <w:p w14:paraId="4445CCA9" w14:textId="4A2E43B8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2013–2014</w:t>
            </w:r>
          </w:p>
        </w:tc>
        <w:tc>
          <w:tcPr>
            <w:tcW w:w="7934" w:type="dxa"/>
          </w:tcPr>
          <w:p w14:paraId="44C95A3E" w14:textId="562E4E8A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Co-Chair, Medical Scholars Program Retreat Committee</w:t>
            </w:r>
            <w:r w:rsidR="00EF7977" w:rsidRPr="00C13BD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22C0A" w:rsidRPr="00C13BD6" w14:paraId="5691F407" w14:textId="77777777" w:rsidTr="00222C0A">
        <w:tc>
          <w:tcPr>
            <w:tcW w:w="1800" w:type="dxa"/>
          </w:tcPr>
          <w:p w14:paraId="09BDFE04" w14:textId="76976F4F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2014–2017</w:t>
            </w:r>
          </w:p>
        </w:tc>
        <w:tc>
          <w:tcPr>
            <w:tcW w:w="7934" w:type="dxa"/>
          </w:tcPr>
          <w:p w14:paraId="58C69D6B" w14:textId="4987E790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Co-President, Out in Medicine at Illinois</w:t>
            </w:r>
            <w:r w:rsidR="00EF7977" w:rsidRPr="00C13BD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22C0A" w:rsidRPr="00C13BD6" w14:paraId="091EEC73" w14:textId="77777777" w:rsidTr="00222C0A">
        <w:tc>
          <w:tcPr>
            <w:tcW w:w="1800" w:type="dxa"/>
          </w:tcPr>
          <w:p w14:paraId="64789F8B" w14:textId="3FA77913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2016–2017</w:t>
            </w:r>
          </w:p>
        </w:tc>
        <w:tc>
          <w:tcPr>
            <w:tcW w:w="7934" w:type="dxa"/>
          </w:tcPr>
          <w:p w14:paraId="028D7DC7" w14:textId="7DCB5A92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Co-Chair, Medical Scholars Program Advisory Committee</w:t>
            </w:r>
            <w:r w:rsidR="00EF7977" w:rsidRPr="00C13BD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22C0A" w:rsidRPr="00C13BD6" w14:paraId="52F3BE60" w14:textId="77777777" w:rsidTr="00222C0A">
        <w:tc>
          <w:tcPr>
            <w:tcW w:w="1800" w:type="dxa"/>
          </w:tcPr>
          <w:p w14:paraId="56D11DEC" w14:textId="0F3F072B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2018–2019</w:t>
            </w:r>
          </w:p>
        </w:tc>
        <w:tc>
          <w:tcPr>
            <w:tcW w:w="7934" w:type="dxa"/>
          </w:tcPr>
          <w:p w14:paraId="2F75BD81" w14:textId="7D5E9C61" w:rsidR="00222C0A" w:rsidRPr="00C13BD6" w:rsidRDefault="00222C0A" w:rsidP="00222C0A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Special Projects Chair, Student Curricular Board</w:t>
            </w:r>
            <w:r w:rsidR="00EF7977" w:rsidRPr="00C13BD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114D37D" w14:textId="349C3E76" w:rsidR="00CF6745" w:rsidRPr="00C13BD6" w:rsidRDefault="00616E2B" w:rsidP="009E5A12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Other:</w:t>
      </w:r>
    </w:p>
    <w:p w14:paraId="7114D37E" w14:textId="31A2337E" w:rsidR="00CF6745" w:rsidRPr="00C13BD6" w:rsidRDefault="00616E2B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None</w:t>
      </w:r>
      <w:r w:rsidR="00EF7977" w:rsidRPr="00C13BD6">
        <w:rPr>
          <w:rFonts w:cs="Arial"/>
          <w:szCs w:val="22"/>
        </w:rPr>
        <w:t>.</w:t>
      </w:r>
    </w:p>
    <w:p w14:paraId="7114D37F" w14:textId="77777777" w:rsidR="00CF6745" w:rsidRPr="00C13BD6" w:rsidRDefault="00616E2B" w:rsidP="00D248AA">
      <w:pPr>
        <w:pStyle w:val="BodyText"/>
        <w:spacing w:before="120"/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University of Illinois at Urbana–Champaign</w:t>
      </w:r>
    </w:p>
    <w:p w14:paraId="7114D380" w14:textId="77777777" w:rsidR="00CF6745" w:rsidRPr="00C13BD6" w:rsidRDefault="00616E2B" w:rsidP="009E5A12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Committee membership:</w:t>
      </w:r>
    </w:p>
    <w:tbl>
      <w:tblPr>
        <w:tblStyle w:val="PlainTable3"/>
        <w:tblW w:w="9734" w:type="dxa"/>
        <w:tblLayout w:type="fixed"/>
        <w:tblLook w:val="0600" w:firstRow="0" w:lastRow="0" w:firstColumn="0" w:lastColumn="0" w:noHBand="1" w:noVBand="1"/>
      </w:tblPr>
      <w:tblGrid>
        <w:gridCol w:w="1800"/>
        <w:gridCol w:w="7934"/>
      </w:tblGrid>
      <w:tr w:rsidR="006801AE" w:rsidRPr="00C13BD6" w14:paraId="061DDE7B" w14:textId="77777777" w:rsidTr="00424BE6">
        <w:tc>
          <w:tcPr>
            <w:tcW w:w="1800" w:type="dxa"/>
          </w:tcPr>
          <w:p w14:paraId="39E8A9C2" w14:textId="6FD669F1" w:rsidR="006801AE" w:rsidRPr="00C13BD6" w:rsidRDefault="006801AE" w:rsidP="006801AE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2012</w:t>
            </w:r>
          </w:p>
        </w:tc>
        <w:tc>
          <w:tcPr>
            <w:tcW w:w="7934" w:type="dxa"/>
          </w:tcPr>
          <w:p w14:paraId="2DC5536A" w14:textId="369E4529" w:rsidR="006801AE" w:rsidRPr="00C13BD6" w:rsidRDefault="006801AE" w:rsidP="006801AE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Climate Survey Steering Committee</w:t>
            </w:r>
            <w:r w:rsidR="00EF7977" w:rsidRPr="00C13BD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114D383" w14:textId="59080F16" w:rsidR="00CF6745" w:rsidRPr="00C13BD6" w:rsidRDefault="00616E2B" w:rsidP="009E5A12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Leadership:</w:t>
      </w:r>
    </w:p>
    <w:tbl>
      <w:tblPr>
        <w:tblStyle w:val="PlainTable3"/>
        <w:tblW w:w="0" w:type="auto"/>
        <w:tblLayout w:type="fixed"/>
        <w:tblLook w:val="0600" w:firstRow="0" w:lastRow="0" w:firstColumn="0" w:lastColumn="0" w:noHBand="1" w:noVBand="1"/>
      </w:tblPr>
      <w:tblGrid>
        <w:gridCol w:w="1800"/>
        <w:gridCol w:w="7934"/>
      </w:tblGrid>
      <w:tr w:rsidR="00424BE6" w:rsidRPr="00C13BD6" w14:paraId="3801329C" w14:textId="77777777" w:rsidTr="004E6F70">
        <w:tc>
          <w:tcPr>
            <w:tcW w:w="1800" w:type="dxa"/>
          </w:tcPr>
          <w:p w14:paraId="4D6CE725" w14:textId="77777777" w:rsidR="00424BE6" w:rsidRPr="00C13BD6" w:rsidRDefault="00424BE6" w:rsidP="004E6F70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2013–2016</w:t>
            </w:r>
          </w:p>
        </w:tc>
        <w:tc>
          <w:tcPr>
            <w:tcW w:w="7934" w:type="dxa"/>
          </w:tcPr>
          <w:p w14:paraId="65EC5EE4" w14:textId="77777777" w:rsidR="00424BE6" w:rsidRPr="00C13BD6" w:rsidRDefault="00424BE6" w:rsidP="004E6F70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Graduate Cancer Community Illinois, Organizer.</w:t>
            </w:r>
          </w:p>
        </w:tc>
      </w:tr>
    </w:tbl>
    <w:p w14:paraId="7114D385" w14:textId="77777777" w:rsidR="00CF6745" w:rsidRPr="00C13BD6" w:rsidRDefault="00616E2B" w:rsidP="009E5A12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Other:</w:t>
      </w:r>
    </w:p>
    <w:p w14:paraId="7114D386" w14:textId="1FD5565E" w:rsidR="00CF6745" w:rsidRPr="00C13BD6" w:rsidRDefault="00616E2B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None</w:t>
      </w:r>
      <w:r w:rsidR="00EF7977" w:rsidRPr="00C13BD6">
        <w:rPr>
          <w:rFonts w:cs="Arial"/>
          <w:szCs w:val="22"/>
        </w:rPr>
        <w:t>.</w:t>
      </w:r>
    </w:p>
    <w:p w14:paraId="7114D387" w14:textId="77777777" w:rsidR="00CF6745" w:rsidRPr="00C13BD6" w:rsidRDefault="00616E2B" w:rsidP="00D248AA">
      <w:pPr>
        <w:pStyle w:val="BodyText"/>
        <w:spacing w:before="120"/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University of Michigan</w:t>
      </w:r>
    </w:p>
    <w:p w14:paraId="7114D388" w14:textId="77777777" w:rsidR="00CF6745" w:rsidRDefault="00616E2B" w:rsidP="009E5A12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lastRenderedPageBreak/>
        <w:t>Committee membership:</w:t>
      </w:r>
    </w:p>
    <w:p w14:paraId="4D8E7EB7" w14:textId="5E908479" w:rsidR="00424BE6" w:rsidRPr="00424BE6" w:rsidRDefault="00424BE6" w:rsidP="00424BE6">
      <w:pPr>
        <w:pStyle w:val="BodyText"/>
      </w:pPr>
      <w:r>
        <w:t>None.</w:t>
      </w:r>
    </w:p>
    <w:p w14:paraId="7114D38A" w14:textId="3195A0BE" w:rsidR="00CF6745" w:rsidRPr="00C13BD6" w:rsidRDefault="00616E2B" w:rsidP="009E5A12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Leadership:</w:t>
      </w:r>
    </w:p>
    <w:tbl>
      <w:tblPr>
        <w:tblStyle w:val="PlainTable3"/>
        <w:tblW w:w="4991" w:type="pct"/>
        <w:tblLook w:val="0600" w:firstRow="0" w:lastRow="0" w:firstColumn="0" w:lastColumn="0" w:noHBand="1" w:noVBand="1"/>
      </w:tblPr>
      <w:tblGrid>
        <w:gridCol w:w="1801"/>
        <w:gridCol w:w="7758"/>
      </w:tblGrid>
      <w:tr w:rsidR="00424BE6" w:rsidRPr="00C13BD6" w14:paraId="230D3941" w14:textId="77777777" w:rsidTr="004E6F70">
        <w:tc>
          <w:tcPr>
            <w:tcW w:w="942" w:type="pct"/>
          </w:tcPr>
          <w:p w14:paraId="19F0FC2D" w14:textId="77777777" w:rsidR="00424BE6" w:rsidRPr="00C13BD6" w:rsidRDefault="00424BE6" w:rsidP="004E6F70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2010–2011</w:t>
            </w:r>
          </w:p>
        </w:tc>
        <w:tc>
          <w:tcPr>
            <w:tcW w:w="7934" w:type="dxa"/>
          </w:tcPr>
          <w:p w14:paraId="4D071068" w14:textId="77777777" w:rsidR="00424BE6" w:rsidRPr="00C13BD6" w:rsidRDefault="00424BE6" w:rsidP="004E6F70">
            <w:pPr>
              <w:rPr>
                <w:rFonts w:ascii="Arial" w:hAnsi="Arial" w:cs="Arial"/>
                <w:sz w:val="22"/>
                <w:szCs w:val="22"/>
              </w:rPr>
            </w:pPr>
            <w:r w:rsidRPr="00C13BD6">
              <w:rPr>
                <w:rFonts w:ascii="Arial" w:hAnsi="Arial" w:cs="Arial"/>
                <w:sz w:val="22"/>
                <w:szCs w:val="22"/>
              </w:rPr>
              <w:t>Biomedical Engineering Society, Executive Board Member.</w:t>
            </w:r>
          </w:p>
        </w:tc>
      </w:tr>
    </w:tbl>
    <w:p w14:paraId="7114D38C" w14:textId="77777777" w:rsidR="00CF6745" w:rsidRPr="00C13BD6" w:rsidRDefault="00616E2B" w:rsidP="009E5A12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Other:</w:t>
      </w:r>
    </w:p>
    <w:p w14:paraId="7114D38D" w14:textId="194C58ED" w:rsidR="00CF6745" w:rsidRPr="00C13BD6" w:rsidRDefault="00616E2B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None</w:t>
      </w:r>
      <w:r w:rsidR="00EF7977" w:rsidRPr="00C13BD6">
        <w:rPr>
          <w:rFonts w:cs="Arial"/>
          <w:szCs w:val="22"/>
        </w:rPr>
        <w:t>.</w:t>
      </w:r>
    </w:p>
    <w:p w14:paraId="7114D38E" w14:textId="77777777" w:rsidR="00CF6745" w:rsidRPr="00C13BD6" w:rsidRDefault="00616E2B" w:rsidP="009E5A12">
      <w:pPr>
        <w:pStyle w:val="BodyText"/>
        <w:spacing w:before="120"/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Extramural (not indicated above)</w:t>
      </w:r>
    </w:p>
    <w:p w14:paraId="7114D38F" w14:textId="77777777" w:rsidR="00CF6745" w:rsidRPr="00C13BD6" w:rsidRDefault="00616E2B" w:rsidP="009E5A12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Leadership roles:</w:t>
      </w:r>
    </w:p>
    <w:p w14:paraId="7114D390" w14:textId="20FC363F" w:rsidR="00CF6745" w:rsidRPr="00C13BD6" w:rsidRDefault="00616E2B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None</w:t>
      </w:r>
      <w:r w:rsidR="00EF7977" w:rsidRPr="00C13BD6">
        <w:rPr>
          <w:rFonts w:cs="Arial"/>
          <w:szCs w:val="22"/>
        </w:rPr>
        <w:t>.</w:t>
      </w:r>
    </w:p>
    <w:p w14:paraId="7114D391" w14:textId="77777777" w:rsidR="00CF6745" w:rsidRPr="00C13BD6" w:rsidRDefault="00616E2B" w:rsidP="009E5A12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Other:</w:t>
      </w:r>
    </w:p>
    <w:p w14:paraId="7114D392" w14:textId="06B9C091" w:rsidR="00CF6745" w:rsidRPr="00C13BD6" w:rsidRDefault="00616E2B">
      <w:pPr>
        <w:pStyle w:val="BodyText"/>
        <w:rPr>
          <w:rFonts w:cs="Arial"/>
          <w:szCs w:val="22"/>
        </w:rPr>
      </w:pPr>
      <w:r w:rsidRPr="00C13BD6">
        <w:rPr>
          <w:rFonts w:cs="Arial"/>
          <w:szCs w:val="22"/>
        </w:rPr>
        <w:t>None</w:t>
      </w:r>
      <w:r w:rsidR="00EF7977" w:rsidRPr="00C13BD6">
        <w:rPr>
          <w:rFonts w:cs="Arial"/>
          <w:szCs w:val="22"/>
        </w:rPr>
        <w:t>.</w:t>
      </w:r>
    </w:p>
    <w:p w14:paraId="7114D393" w14:textId="346764FF" w:rsidR="00CF6745" w:rsidRPr="00C13BD6" w:rsidRDefault="00192239" w:rsidP="009E5A12">
      <w:pPr>
        <w:pStyle w:val="Heading1"/>
        <w:rPr>
          <w:rFonts w:cs="Arial"/>
          <w:szCs w:val="22"/>
        </w:rPr>
      </w:pPr>
      <w:r w:rsidRPr="00C13BD6">
        <w:rPr>
          <w:rFonts w:cs="Arial"/>
          <w:szCs w:val="22"/>
        </w:rPr>
        <w:t>Scholarship</w:t>
      </w:r>
    </w:p>
    <w:p w14:paraId="7114D394" w14:textId="77777777" w:rsidR="00CF6745" w:rsidRPr="00C13BD6" w:rsidRDefault="00616E2B" w:rsidP="009E5A12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Journal Articles</w:t>
      </w:r>
    </w:p>
    <w:p w14:paraId="7114D395" w14:textId="77777777" w:rsidR="00CF6745" w:rsidRPr="00C13BD6" w:rsidRDefault="00616E2B" w:rsidP="009E5A12">
      <w:pPr>
        <w:pStyle w:val="BodyText"/>
        <w:spacing w:before="120" w:after="120"/>
        <w:rPr>
          <w:rFonts w:cs="Arial"/>
          <w:i/>
          <w:iCs/>
          <w:szCs w:val="22"/>
        </w:rPr>
      </w:pPr>
      <w:r w:rsidRPr="00C13BD6">
        <w:rPr>
          <w:rFonts w:cs="Arial"/>
          <w:i/>
          <w:iCs/>
          <w:szCs w:val="22"/>
        </w:rPr>
        <w:t>Asterisk (*) indicates equal authorship.</w:t>
      </w:r>
    </w:p>
    <w:p w14:paraId="391B1F6F" w14:textId="70616C19" w:rsidR="00F97F54" w:rsidRPr="00C13BD6" w:rsidRDefault="00F97F54" w:rsidP="00F97F54">
      <w:pPr>
        <w:pStyle w:val="BodyText"/>
        <w:numPr>
          <w:ilvl w:val="0"/>
          <w:numId w:val="25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H. Tavana, </w:t>
      </w:r>
      <w:r w:rsidRPr="00C13BD6">
        <w:rPr>
          <w:rFonts w:cs="Arial"/>
          <w:b/>
          <w:bCs/>
          <w:szCs w:val="22"/>
        </w:rPr>
        <w:t>K. Kaylan</w:t>
      </w:r>
      <w:r w:rsidRPr="00C13BD6">
        <w:rPr>
          <w:rFonts w:cs="Arial"/>
          <w:szCs w:val="22"/>
        </w:rPr>
        <w:t>, T. Bersano-Begey, K. E. Luker, G. D. Luker, and S. Takayama. “Rehydration of polymeric, aqueous, biphasic system facilitates high throughput cell exclusion patterning for cell migration studies”. In: Advanced Functional Materials 21.15 (Aug. 2011), pp. 2920–2926. DOI: 10.1002/adfm.201002559.</w:t>
      </w:r>
    </w:p>
    <w:p w14:paraId="4EEA9E61" w14:textId="1D64A503" w:rsidR="002618EA" w:rsidRPr="00C13BD6" w:rsidRDefault="002618EA" w:rsidP="00EB79AA">
      <w:pPr>
        <w:pStyle w:val="BodyText"/>
        <w:numPr>
          <w:ilvl w:val="0"/>
          <w:numId w:val="25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Kaylan*</w:t>
      </w:r>
      <w:r w:rsidRPr="00C13BD6">
        <w:rPr>
          <w:rFonts w:cs="Arial"/>
          <w:szCs w:val="22"/>
        </w:rPr>
        <w:t>, V. Ermilova*, R. C. Yada, and G. H. Underhill. “Combinatorial microenvironmental regulation of liver progenitor differentiation by Notch ligands, TGFβ, and extracellular matrix”. In: Scientific Reports 6.23490 (Mar. 2016). DOI: 10.1038/srep23490.</w:t>
      </w:r>
    </w:p>
    <w:p w14:paraId="2C61A487" w14:textId="77777777" w:rsidR="00EB79AA" w:rsidRPr="00C13BD6" w:rsidRDefault="002618EA" w:rsidP="00EB79AA">
      <w:pPr>
        <w:pStyle w:val="BodyText"/>
        <w:numPr>
          <w:ilvl w:val="0"/>
          <w:numId w:val="25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E. Atefi, D. Fyffe, </w:t>
      </w: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, and H. Tavana. “Characterization of aqueous two-phase systems from volume and density measurements”. In: Journal of Chemical &amp; Engineering Data 61.4 (Mar. 2016), pp. 1531–1539. DOI: 10.1021/acs.jced.5b00901.</w:t>
      </w:r>
    </w:p>
    <w:p w14:paraId="59C1E14A" w14:textId="7FC29E9F" w:rsidR="002618EA" w:rsidRPr="00C13BD6" w:rsidRDefault="00EB79AA" w:rsidP="00EB79AA">
      <w:pPr>
        <w:pStyle w:val="BodyText"/>
        <w:numPr>
          <w:ilvl w:val="0"/>
          <w:numId w:val="25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A. </w:t>
      </w:r>
      <w:r w:rsidR="002618EA" w:rsidRPr="00C13BD6">
        <w:rPr>
          <w:rFonts w:cs="Arial"/>
          <w:szCs w:val="22"/>
        </w:rPr>
        <w:t xml:space="preserve">P. Kourouklis*, </w:t>
      </w:r>
      <w:r w:rsidR="002618EA" w:rsidRPr="00C13BD6">
        <w:rPr>
          <w:rFonts w:cs="Arial"/>
          <w:b/>
          <w:bCs/>
          <w:szCs w:val="22"/>
        </w:rPr>
        <w:t>K. B. Kaylan*</w:t>
      </w:r>
      <w:r w:rsidR="002618EA" w:rsidRPr="00C13BD6">
        <w:rPr>
          <w:rFonts w:cs="Arial"/>
          <w:szCs w:val="22"/>
        </w:rPr>
        <w:t>, and G. H. Underhill. “Substrate stiffness and matrix composition coordinately control the differentiation of liver progenitor cells”. In: Biomaterials 99 (Aug. 2016), pp. 82–94. DOI: 10.1016/j.biomaterials.2016.05.016.</w:t>
      </w:r>
    </w:p>
    <w:p w14:paraId="7DF7F37C" w14:textId="77777777" w:rsidR="002618EA" w:rsidRPr="00C13BD6" w:rsidRDefault="002618EA" w:rsidP="00EB79AA">
      <w:pPr>
        <w:pStyle w:val="BodyText"/>
        <w:numPr>
          <w:ilvl w:val="0"/>
          <w:numId w:val="25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, S. D. Gentile, L. E. Milling, K. N. Bhinge, F. Kosari, and G. H. Underhill. “Mapping lung tumor cell drug responses as a function of matrix context and genotype using cell microarrays”. In: Integrative Biology 8.12 (Oct. 2016), pp. 1221–1231. DOI: 10.1039/c6ib00179c.</w:t>
      </w:r>
    </w:p>
    <w:p w14:paraId="0569A9F0" w14:textId="77777777" w:rsidR="002618EA" w:rsidRPr="00C13BD6" w:rsidRDefault="002618EA" w:rsidP="00EB79AA">
      <w:pPr>
        <w:pStyle w:val="BodyText"/>
        <w:numPr>
          <w:ilvl w:val="0"/>
          <w:numId w:val="25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, A. P. Kourouklis, and G. H. Underhill. “A high-throughput cell microarray platform for correlative analysis of cell differentiation and traction forces”. In: Journal of Visualized Experiments: JoVE 121 (Mar. 2017). DOI: 10.3791/55362.</w:t>
      </w:r>
    </w:p>
    <w:p w14:paraId="70F14267" w14:textId="77777777" w:rsidR="002618EA" w:rsidRPr="00C13BD6" w:rsidRDefault="002618EA" w:rsidP="00EB79AA">
      <w:pPr>
        <w:pStyle w:val="BodyText"/>
        <w:numPr>
          <w:ilvl w:val="0"/>
          <w:numId w:val="25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R. C. A. Eguiluz, </w:t>
      </w: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, G. H. Underhill, and D. E. Leckband. “Substrate stiffness and VE-cadherin mechano-transduction coordinate to regulate endothelial monolayer integrity”. In: Biomaterials 140 (Sept. 2017), pp. 45–57. DOI: 10.1016/j.biomaterials.2017.06.010.</w:t>
      </w:r>
    </w:p>
    <w:p w14:paraId="0675871D" w14:textId="77777777" w:rsidR="002618EA" w:rsidRPr="00C13BD6" w:rsidRDefault="002618EA" w:rsidP="00EB79AA">
      <w:pPr>
        <w:pStyle w:val="BodyText"/>
        <w:numPr>
          <w:ilvl w:val="0"/>
          <w:numId w:val="25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M. J. Biehl, </w:t>
      </w: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, R. J. Thompson, R. V. Gonzalez, K. E. Weis, G. H. Underhill, and L. T. Raetzman. “Cellular fate decisions in the developing female anteroventral periventricular nucleus are regulated by canonical Notch signaling”. In: Developmental Biology 442.1 (June 2018), pp. 87–100. DOI: 10.1016/j.ydbio.2018.06.005.</w:t>
      </w:r>
    </w:p>
    <w:p w14:paraId="6A11E594" w14:textId="77777777" w:rsidR="002618EA" w:rsidRPr="00C13BD6" w:rsidRDefault="002618EA" w:rsidP="00EB79AA">
      <w:pPr>
        <w:pStyle w:val="BodyText"/>
        <w:numPr>
          <w:ilvl w:val="0"/>
          <w:numId w:val="25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 xml:space="preserve">, I. C. Berg, M. J. Biehl, A. Brougham-Cook, I. Jain, S. M. Jamil, L. H. Sargeant, N. J. Cornell, L. T. Raetzman, and G. H. Underhill. “Spatial patterning of liver </w:t>
      </w:r>
      <w:r w:rsidRPr="00C13BD6">
        <w:rPr>
          <w:rFonts w:cs="Arial"/>
          <w:szCs w:val="22"/>
        </w:rPr>
        <w:lastRenderedPageBreak/>
        <w:t>progenitor cell differentiation mediated by cellular contractility and Notch signaling”. In: eLife 7 (Dec. 2018). DOI: 10.7554/elife.38536.</w:t>
      </w:r>
    </w:p>
    <w:p w14:paraId="17F785C6" w14:textId="77777777" w:rsidR="002618EA" w:rsidRPr="00C13BD6" w:rsidRDefault="002618EA" w:rsidP="00EB79AA">
      <w:pPr>
        <w:pStyle w:val="BodyText"/>
        <w:numPr>
          <w:ilvl w:val="0"/>
          <w:numId w:val="25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M. </w:t>
      </w:r>
      <w:proofErr w:type="spellStart"/>
      <w:r w:rsidRPr="00C13BD6">
        <w:rPr>
          <w:rFonts w:cs="Arial"/>
          <w:szCs w:val="22"/>
        </w:rPr>
        <w:t>Spaggiari</w:t>
      </w:r>
      <w:proofErr w:type="spellEnd"/>
      <w:r w:rsidRPr="00C13BD6">
        <w:rPr>
          <w:rFonts w:cs="Arial"/>
          <w:szCs w:val="22"/>
        </w:rPr>
        <w:t xml:space="preserve">, P. D. Cocco, K. Tulla, </w:t>
      </w: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, M. A. Masrur, C. Hassan, J. A. Alvarez, E. Benedetti, and I. Tzvetanov. “Simultaneous robotic kidney transplantation and bariatric surgery for morbidly obese patients with end-stage renal failure”. In: American Journal of Transplantation 21.4 (Apr. 2021), pp. 1525–34. DOI: 10.1111/ajt.16322.</w:t>
      </w:r>
    </w:p>
    <w:p w14:paraId="70151730" w14:textId="77777777" w:rsidR="00EB79AA" w:rsidRPr="00C13BD6" w:rsidRDefault="002618EA" w:rsidP="00EB79AA">
      <w:pPr>
        <w:pStyle w:val="BodyText"/>
        <w:numPr>
          <w:ilvl w:val="0"/>
          <w:numId w:val="25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, S. M. Russel, C. N. Justice, M. K. Sheena, L. E. Hirshfield, H. L. Heiman, and R. H. Curry. “Applying the lean startup methodology to structure project-based, student-driven curricular enhancements”. In: Teaching and Learning in Medicine 34.4 (June 2021), pp. 434–443. DOI: 10.1080/10401334.2021.1928501.</w:t>
      </w:r>
    </w:p>
    <w:p w14:paraId="75687765" w14:textId="1F259CDB" w:rsidR="002618EA" w:rsidRPr="00C13BD6" w:rsidRDefault="00EB79AA" w:rsidP="00EB79AA">
      <w:pPr>
        <w:pStyle w:val="BodyText"/>
        <w:numPr>
          <w:ilvl w:val="0"/>
          <w:numId w:val="25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C. </w:t>
      </w:r>
      <w:r w:rsidR="002618EA" w:rsidRPr="00C13BD6">
        <w:rPr>
          <w:rFonts w:cs="Arial"/>
          <w:szCs w:val="22"/>
        </w:rPr>
        <w:t xml:space="preserve">P. Monckton, A. Brougham-Cook, </w:t>
      </w:r>
      <w:r w:rsidR="002618EA" w:rsidRPr="00C13BD6">
        <w:rPr>
          <w:rFonts w:cs="Arial"/>
          <w:b/>
          <w:bCs/>
          <w:szCs w:val="22"/>
        </w:rPr>
        <w:t>K. B. Kaylan</w:t>
      </w:r>
      <w:r w:rsidR="002618EA" w:rsidRPr="00C13BD6">
        <w:rPr>
          <w:rFonts w:cs="Arial"/>
          <w:szCs w:val="22"/>
        </w:rPr>
        <w:t>, G. H. Underhill, and S. R. Khetani. “Elucidating extracellular matrix and stiffness control of primary human hepatocyte phenotype via cell microarrays”. In: Advanced Materials Interfaces 8.2101284 (Oct. 2021). DOI: 10.1002/admi.202101284.</w:t>
      </w:r>
    </w:p>
    <w:p w14:paraId="5EDEAC5A" w14:textId="77777777" w:rsidR="002618EA" w:rsidRPr="00C13BD6" w:rsidRDefault="002618EA" w:rsidP="00EB79AA">
      <w:pPr>
        <w:pStyle w:val="BodyText"/>
        <w:numPr>
          <w:ilvl w:val="0"/>
          <w:numId w:val="25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T. Nargis, C. Muralidharan, J. R. Enriquez, J. E. Wang, </w:t>
      </w: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 xml:space="preserve">, A. Chakraborty, S. </w:t>
      </w:r>
      <w:proofErr w:type="spellStart"/>
      <w:r w:rsidRPr="00C13BD6">
        <w:rPr>
          <w:rFonts w:cs="Arial"/>
          <w:szCs w:val="22"/>
        </w:rPr>
        <w:t>Pratuangtham</w:t>
      </w:r>
      <w:proofErr w:type="spellEnd"/>
      <w:r w:rsidRPr="00C13BD6">
        <w:rPr>
          <w:rFonts w:cs="Arial"/>
          <w:szCs w:val="22"/>
        </w:rPr>
        <w:t xml:space="preserve">, K. </w:t>
      </w:r>
      <w:proofErr w:type="spellStart"/>
      <w:r w:rsidRPr="00C13BD6">
        <w:rPr>
          <w:rFonts w:cs="Arial"/>
          <w:szCs w:val="22"/>
        </w:rPr>
        <w:t>Figatner</w:t>
      </w:r>
      <w:proofErr w:type="spellEnd"/>
      <w:r w:rsidRPr="00C13BD6">
        <w:rPr>
          <w:rFonts w:cs="Arial"/>
          <w:szCs w:val="22"/>
        </w:rPr>
        <w:t>, J. B. Nelson, S. C. May, J. L. Nadler, M. B. Boxer, D. J. Maloney, S. A. Tersey, and R. G. Mirmira. “12-Lipoxygenase inhibition delays onset of autoimmune diabetes in human gene replacement mice”. In: JCI Insight 9.24 (Nov. 2024), e185299. DOI: 10.1172/jci.insight.185299.</w:t>
      </w:r>
    </w:p>
    <w:p w14:paraId="28B24C89" w14:textId="77777777" w:rsidR="002618EA" w:rsidRPr="00C13BD6" w:rsidRDefault="002618EA" w:rsidP="00EB79AA">
      <w:pPr>
        <w:pStyle w:val="BodyText"/>
        <w:numPr>
          <w:ilvl w:val="0"/>
          <w:numId w:val="25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Kaylan*</w:t>
      </w:r>
      <w:r w:rsidRPr="00C13BD6">
        <w:rPr>
          <w:rFonts w:cs="Arial"/>
          <w:szCs w:val="22"/>
        </w:rPr>
        <w:t xml:space="preserve">, T. Nargis*, K. </w:t>
      </w:r>
      <w:proofErr w:type="spellStart"/>
      <w:r w:rsidRPr="00C13BD6">
        <w:rPr>
          <w:rFonts w:cs="Arial"/>
          <w:szCs w:val="22"/>
        </w:rPr>
        <w:t>Figatner</w:t>
      </w:r>
      <w:proofErr w:type="spellEnd"/>
      <w:r w:rsidRPr="00C13BD6">
        <w:rPr>
          <w:rFonts w:cs="Arial"/>
          <w:szCs w:val="22"/>
        </w:rPr>
        <w:t xml:space="preserve">, J. E. Wang, S. </w:t>
      </w:r>
      <w:proofErr w:type="spellStart"/>
      <w:r w:rsidRPr="00C13BD6">
        <w:rPr>
          <w:rFonts w:cs="Arial"/>
          <w:szCs w:val="22"/>
        </w:rPr>
        <w:t>Pratuangtham</w:t>
      </w:r>
      <w:proofErr w:type="spellEnd"/>
      <w:r w:rsidRPr="00C13BD6">
        <w:rPr>
          <w:rFonts w:cs="Arial"/>
          <w:szCs w:val="22"/>
        </w:rPr>
        <w:t>, A. Chakraborty, I. Casimiro, J. L. Nadler, M. B. Boxer, D. J. Maloney, R. M. Anderson, R. G. Mirmira, and S. A. Tersey. “12-Lipoxygenase inhibition improves glycemia and obesity-associated inflammation in male human gene replacement mice”. In: Endocrinology 166.6 (June 2025), bqaf069. DOI: 10.1210/</w:t>
      </w:r>
      <w:proofErr w:type="spellStart"/>
      <w:r w:rsidRPr="00C13BD6">
        <w:rPr>
          <w:rFonts w:cs="Arial"/>
          <w:szCs w:val="22"/>
        </w:rPr>
        <w:t>endocr</w:t>
      </w:r>
      <w:proofErr w:type="spellEnd"/>
      <w:r w:rsidRPr="00C13BD6">
        <w:rPr>
          <w:rFonts w:cs="Arial"/>
          <w:szCs w:val="22"/>
        </w:rPr>
        <w:t>/bqaf069.</w:t>
      </w:r>
    </w:p>
    <w:p w14:paraId="7114D3A4" w14:textId="77777777" w:rsidR="00CF6745" w:rsidRPr="00C13BD6" w:rsidRDefault="00616E2B" w:rsidP="009E5A12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Review Articles</w:t>
      </w:r>
    </w:p>
    <w:p w14:paraId="246C1E85" w14:textId="7E880F5D" w:rsidR="002618EA" w:rsidRPr="00C13BD6" w:rsidRDefault="002618EA" w:rsidP="002618EA">
      <w:pPr>
        <w:pStyle w:val="BodyText"/>
        <w:numPr>
          <w:ilvl w:val="0"/>
          <w:numId w:val="24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P. D. Cocco, A. Fratti, </w:t>
      </w: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, I. G. Tzvetanov, and E. Benedetti. “Treatment strategies for antibody-mediated rejection in kidney transplantation and its prevention”. In: OBM Transplantation 4.3 (Sept. 2020), p. 16. DOI: 10.21926/obm.transplant.2003119.</w:t>
      </w:r>
    </w:p>
    <w:p w14:paraId="7114D3A5" w14:textId="7542F2DE" w:rsidR="00CF6745" w:rsidRPr="00C13BD6" w:rsidRDefault="00616E2B" w:rsidP="002618EA">
      <w:pPr>
        <w:pStyle w:val="BodyText"/>
        <w:numPr>
          <w:ilvl w:val="0"/>
          <w:numId w:val="24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 xml:space="preserve"> and S. Paul. “NAFLD No More: A Review of Current Guidelines in the Diagnosis and Evaluation of Metabolic Dysfunction-Associated Steatotic Liver Disease (MASLD)”. In: Current Diabetes Reports 25.1 (Nov. 2024), p. 5. DOI: 10.1007/s11892-024-01558-y.</w:t>
      </w:r>
    </w:p>
    <w:p w14:paraId="7114D3A7" w14:textId="77777777" w:rsidR="00CF6745" w:rsidRPr="00C13BD6" w:rsidRDefault="00616E2B" w:rsidP="008638EC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Commentaries</w:t>
      </w:r>
    </w:p>
    <w:p w14:paraId="7114D3A8" w14:textId="77777777" w:rsidR="00CF6745" w:rsidRPr="00C13BD6" w:rsidRDefault="00616E2B" w:rsidP="00EF7977">
      <w:pPr>
        <w:pStyle w:val="BodyText"/>
        <w:numPr>
          <w:ilvl w:val="0"/>
          <w:numId w:val="41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 xml:space="preserve"> and L. H. Philipson. “Werner Syndrome and Diabetes: Opportunities for Precision Medicine”. In: Diabetes Care 47.5 (May 2024), pp. 785–786.</w:t>
      </w:r>
    </w:p>
    <w:p w14:paraId="7114D3A9" w14:textId="77777777" w:rsidR="00CF6745" w:rsidRPr="00C13BD6" w:rsidRDefault="00616E2B" w:rsidP="009E5A12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Book Chapters</w:t>
      </w:r>
    </w:p>
    <w:p w14:paraId="7114D3AA" w14:textId="77777777" w:rsidR="00CF6745" w:rsidRPr="00C13BD6" w:rsidRDefault="00616E2B" w:rsidP="00EF7977">
      <w:pPr>
        <w:pStyle w:val="BodyText"/>
        <w:numPr>
          <w:ilvl w:val="0"/>
          <w:numId w:val="42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 xml:space="preserve"> and G. H. Underhill. “Hydrogels for hepatic tissue engineering”. In: Gels Handbook: Fundamentals, Properties and Applications Volume 2: Applications of Hydrogels in Regenerative Medicine. 2016, pp. 427–462. DOI: 10.1142/9789813140394_0015.</w:t>
      </w:r>
    </w:p>
    <w:p w14:paraId="7114D3AB" w14:textId="77777777" w:rsidR="00CF6745" w:rsidRPr="00C13BD6" w:rsidRDefault="00616E2B" w:rsidP="009E5A12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Conference Proceedings</w:t>
      </w:r>
    </w:p>
    <w:p w14:paraId="7114D3B1" w14:textId="2AEAEE50" w:rsidR="00CF6745" w:rsidRPr="00C13BD6" w:rsidRDefault="00616E2B" w:rsidP="00EF7977">
      <w:pPr>
        <w:pStyle w:val="BodyText"/>
        <w:numPr>
          <w:ilvl w:val="0"/>
          <w:numId w:val="43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Kourouklis, </w:t>
      </w:r>
      <w:r w:rsidRPr="00C13BD6">
        <w:rPr>
          <w:rFonts w:cs="Arial"/>
          <w:b/>
          <w:bCs/>
          <w:szCs w:val="22"/>
        </w:rPr>
        <w:t>K. Kaylan</w:t>
      </w:r>
      <w:r w:rsidRPr="00C13BD6">
        <w:rPr>
          <w:rFonts w:cs="Arial"/>
          <w:szCs w:val="22"/>
        </w:rPr>
        <w:t>, and G. Underhill. “The Role of ECM Biomechanics in Liver Progenitor Differentiation”. In: AIChE Annual Meeting Proceedings. Nov. 2016.</w:t>
      </w:r>
    </w:p>
    <w:p w14:paraId="786C91E2" w14:textId="77777777" w:rsidR="00F97F54" w:rsidRPr="00C13BD6" w:rsidRDefault="00F97F54" w:rsidP="00EF7977">
      <w:pPr>
        <w:pStyle w:val="BodyText"/>
        <w:numPr>
          <w:ilvl w:val="0"/>
          <w:numId w:val="43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Kourouklis, </w:t>
      </w:r>
      <w:r w:rsidRPr="00C13BD6">
        <w:rPr>
          <w:rFonts w:cs="Arial"/>
          <w:b/>
          <w:bCs/>
          <w:szCs w:val="22"/>
        </w:rPr>
        <w:t>K. Kaylan</w:t>
      </w:r>
      <w:r w:rsidRPr="00C13BD6">
        <w:rPr>
          <w:rFonts w:cs="Arial"/>
          <w:szCs w:val="22"/>
        </w:rPr>
        <w:t>, and G. Underhill. “Combinatorial ECM Arrays Reveal the Role of Biomechanics in Liver Progenitor Differentiation”. In: AIChE Annual Meeting Proceedings. Nov. 2016.</w:t>
      </w:r>
    </w:p>
    <w:p w14:paraId="176DFA12" w14:textId="77777777" w:rsidR="00F97F54" w:rsidRPr="00C13BD6" w:rsidRDefault="00F97F54" w:rsidP="00EF7977">
      <w:pPr>
        <w:pStyle w:val="BodyText"/>
        <w:numPr>
          <w:ilvl w:val="0"/>
          <w:numId w:val="43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lastRenderedPageBreak/>
        <w:t xml:space="preserve">R. A. Eguiluz, M. Munim, </w:t>
      </w: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, G. H. Underhill, and D. E. Leckband. “VE-Cadherin Signals and Substrate Stiffness Regulate Force Transduction through Endothelial Monolayers”. In: AIChE Annual Meeting Proceedings. Nov. 2016.</w:t>
      </w:r>
    </w:p>
    <w:p w14:paraId="2AB784C5" w14:textId="77777777" w:rsidR="00F97F54" w:rsidRPr="00C13BD6" w:rsidRDefault="00F97F54" w:rsidP="00EF7977">
      <w:pPr>
        <w:pStyle w:val="BodyText"/>
        <w:numPr>
          <w:ilvl w:val="0"/>
          <w:numId w:val="43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M. J. Biehl, </w:t>
      </w: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 xml:space="preserve">, G. H. Underhill, and L. T. Raetzman. “Cell Fate Decisions in the Developing Hypothalamic Anteroventral Periventricular Nucleus Are Regulated </w:t>
      </w:r>
      <w:proofErr w:type="gramStart"/>
      <w:r w:rsidRPr="00C13BD6">
        <w:rPr>
          <w:rFonts w:cs="Arial"/>
          <w:szCs w:val="22"/>
        </w:rPr>
        <w:t>By</w:t>
      </w:r>
      <w:proofErr w:type="gramEnd"/>
      <w:r w:rsidRPr="00C13BD6">
        <w:rPr>
          <w:rFonts w:cs="Arial"/>
          <w:szCs w:val="22"/>
        </w:rPr>
        <w:t xml:space="preserve"> Canonical Notch Signaling”. In: Endocrine Reviews. Vol. 38. S3. June 2017, p. </w:t>
      </w:r>
      <w:proofErr w:type="spellStart"/>
      <w:r w:rsidRPr="00C13BD6">
        <w:rPr>
          <w:rFonts w:cs="Arial"/>
          <w:szCs w:val="22"/>
        </w:rPr>
        <w:t>i</w:t>
      </w:r>
      <w:proofErr w:type="spellEnd"/>
      <w:r w:rsidRPr="00C13BD6">
        <w:rPr>
          <w:rFonts w:cs="Arial"/>
          <w:szCs w:val="22"/>
        </w:rPr>
        <w:t>.</w:t>
      </w:r>
    </w:p>
    <w:p w14:paraId="52F4789A" w14:textId="3BE55CF8" w:rsidR="00AD1973" w:rsidRPr="00C13BD6" w:rsidRDefault="00F97F54" w:rsidP="00EF7977">
      <w:pPr>
        <w:pStyle w:val="BodyText"/>
        <w:numPr>
          <w:ilvl w:val="0"/>
          <w:numId w:val="43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G. Underhill and </w:t>
      </w: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 xml:space="preserve">. “Spatial patterning of liver progenitor cell differentiation mediated by cell contractility and Notch signaling”. In: Nanotechnology in Medicine II: Bridging Translational In Vitro and In Vivo Interfaces. Ed. by M. Sullivan, J. </w:t>
      </w:r>
      <w:proofErr w:type="spellStart"/>
      <w:r w:rsidRPr="00C13BD6">
        <w:rPr>
          <w:rFonts w:cs="Arial"/>
          <w:szCs w:val="22"/>
        </w:rPr>
        <w:t>Sznitman</w:t>
      </w:r>
      <w:proofErr w:type="spellEnd"/>
      <w:r w:rsidRPr="00C13BD6">
        <w:rPr>
          <w:rFonts w:cs="Arial"/>
          <w:szCs w:val="22"/>
        </w:rPr>
        <w:t>, I. L. Eniola-</w:t>
      </w:r>
      <w:proofErr w:type="spellStart"/>
      <w:r w:rsidRPr="00C13BD6">
        <w:rPr>
          <w:rFonts w:cs="Arial"/>
          <w:szCs w:val="22"/>
        </w:rPr>
        <w:t>Adefeso</w:t>
      </w:r>
      <w:proofErr w:type="spellEnd"/>
      <w:r w:rsidRPr="00C13BD6">
        <w:rPr>
          <w:rFonts w:cs="Arial"/>
          <w:szCs w:val="22"/>
        </w:rPr>
        <w:t>, and S. Kidambi. ECI Symposium Series. June 2018.</w:t>
      </w:r>
    </w:p>
    <w:p w14:paraId="72D942B9" w14:textId="712B002F" w:rsidR="00AD1973" w:rsidRPr="00C13BD6" w:rsidRDefault="00146D24" w:rsidP="00AD1973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Abstracts</w:t>
      </w:r>
      <w:r w:rsidR="00811434" w:rsidRPr="00C13BD6">
        <w:rPr>
          <w:rFonts w:cs="Arial"/>
          <w:szCs w:val="22"/>
        </w:rPr>
        <w:t>:</w:t>
      </w:r>
      <w:r w:rsidRPr="00C13BD6">
        <w:rPr>
          <w:rFonts w:cs="Arial"/>
          <w:szCs w:val="22"/>
        </w:rPr>
        <w:t xml:space="preserve"> </w:t>
      </w:r>
      <w:r w:rsidR="00DE1E0F" w:rsidRPr="00C13BD6">
        <w:rPr>
          <w:rFonts w:cs="Arial"/>
          <w:szCs w:val="22"/>
        </w:rPr>
        <w:t>Poster Presentations</w:t>
      </w:r>
    </w:p>
    <w:p w14:paraId="733FE756" w14:textId="77777777" w:rsidR="00486C6A" w:rsidRPr="00C13BD6" w:rsidRDefault="00486C6A" w:rsidP="00EF7977">
      <w:pPr>
        <w:pStyle w:val="BodyText"/>
        <w:numPr>
          <w:ilvl w:val="0"/>
          <w:numId w:val="44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Kaylan</w:t>
      </w:r>
      <w:r w:rsidRPr="00C13BD6">
        <w:rPr>
          <w:rFonts w:cs="Arial"/>
          <w:szCs w:val="22"/>
        </w:rPr>
        <w:t>, H. Tavana, and S. Takayama. “A novel cell migration assay utilizing polymeric aqueous two-phase systems.” Student Biomedical Research Forum in Ann Arbor, MI. Nov. 2010.</w:t>
      </w:r>
    </w:p>
    <w:p w14:paraId="7C37A48E" w14:textId="77777777" w:rsidR="00486C6A" w:rsidRPr="00C13BD6" w:rsidRDefault="00486C6A" w:rsidP="00EF7977">
      <w:pPr>
        <w:pStyle w:val="BodyText"/>
        <w:numPr>
          <w:ilvl w:val="0"/>
          <w:numId w:val="44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Kaylan</w:t>
      </w:r>
      <w:r w:rsidRPr="00C13BD6">
        <w:rPr>
          <w:rFonts w:cs="Arial"/>
          <w:szCs w:val="22"/>
        </w:rPr>
        <w:t xml:space="preserve">, I. Lesaca, G. Jiang, and H. Gazzano-Santoro. “Development of a functional assay for MAb1.” </w:t>
      </w:r>
      <w:proofErr w:type="spellStart"/>
      <w:r w:rsidRPr="00C13BD6">
        <w:rPr>
          <w:rFonts w:cs="Arial"/>
          <w:szCs w:val="22"/>
        </w:rPr>
        <w:t>Genetech</w:t>
      </w:r>
      <w:proofErr w:type="spellEnd"/>
      <w:r w:rsidRPr="00C13BD6">
        <w:rPr>
          <w:rFonts w:cs="Arial"/>
          <w:szCs w:val="22"/>
        </w:rPr>
        <w:t xml:space="preserve"> Intern Poster Day in South San Francisco, CA. Aug. 2011.</w:t>
      </w:r>
    </w:p>
    <w:p w14:paraId="7E7E141B" w14:textId="77777777" w:rsidR="00486C6A" w:rsidRPr="00C13BD6" w:rsidRDefault="00486C6A" w:rsidP="00EF7977">
      <w:pPr>
        <w:pStyle w:val="BodyText"/>
        <w:numPr>
          <w:ilvl w:val="0"/>
          <w:numId w:val="44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Kaylan</w:t>
      </w:r>
      <w:r w:rsidRPr="00C13BD6">
        <w:rPr>
          <w:rFonts w:cs="Arial"/>
          <w:szCs w:val="22"/>
        </w:rPr>
        <w:t>, I. Lesaca, G. Jiang, and H. Gazzano-Santoro. “Development of a functional assay for MAb1 utilizing peptide uptake.” Genentech Analytical Development and Quality Control Poster Mixer in South San Francisco, CA. Oct. 2011.</w:t>
      </w:r>
    </w:p>
    <w:p w14:paraId="0659C342" w14:textId="77777777" w:rsidR="00486C6A" w:rsidRPr="00C13BD6" w:rsidRDefault="00486C6A" w:rsidP="00EF7977">
      <w:pPr>
        <w:pStyle w:val="BodyText"/>
        <w:numPr>
          <w:ilvl w:val="0"/>
          <w:numId w:val="44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Kaylan</w:t>
      </w:r>
      <w:r w:rsidRPr="00C13BD6">
        <w:rPr>
          <w:rFonts w:cs="Arial"/>
          <w:szCs w:val="22"/>
        </w:rPr>
        <w:t>, V. Ermilova, and G. Underhill. “Deconstructing combinatorial microenvironmental regulation in hepatoblastoma using cell microarrays.” University of Illinois College of Medicine Research Day in Urbana, IL. Feb. 2014.</w:t>
      </w:r>
    </w:p>
    <w:p w14:paraId="79E973BE" w14:textId="77777777" w:rsidR="00486C6A" w:rsidRPr="00C13BD6" w:rsidRDefault="00486C6A" w:rsidP="00EF7977">
      <w:pPr>
        <w:pStyle w:val="BodyText"/>
        <w:numPr>
          <w:ilvl w:val="0"/>
          <w:numId w:val="44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Kaylan</w:t>
      </w:r>
      <w:r w:rsidRPr="00C13BD6">
        <w:rPr>
          <w:rFonts w:cs="Arial"/>
          <w:szCs w:val="22"/>
        </w:rPr>
        <w:t>, V. Ermilova, and G. Underhill. “Deconstructing combinatorial microenvironmental regulation in hepatoblastoma using cell microarrays.” Bioengineering Days in Urbana, IL. Feb. 2014.</w:t>
      </w:r>
    </w:p>
    <w:p w14:paraId="2F3AEE73" w14:textId="77777777" w:rsidR="00486C6A" w:rsidRPr="00C13BD6" w:rsidRDefault="00486C6A" w:rsidP="00EF7977">
      <w:pPr>
        <w:pStyle w:val="BodyText"/>
        <w:numPr>
          <w:ilvl w:val="0"/>
          <w:numId w:val="44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Kaylan</w:t>
      </w:r>
      <w:r w:rsidRPr="00C13BD6">
        <w:rPr>
          <w:rFonts w:cs="Arial"/>
          <w:szCs w:val="22"/>
        </w:rPr>
        <w:t>, V. Ermilova, and G. Underhill. “Deconstructing combinatorial microenvironmental regulation in hepatoblastoma using cell microarrays.” Medical Scholars Program Retreat in Monticello, IL. Aug. 2014.</w:t>
      </w:r>
    </w:p>
    <w:p w14:paraId="66BCC3E1" w14:textId="77777777" w:rsidR="00486C6A" w:rsidRPr="00C13BD6" w:rsidRDefault="00486C6A" w:rsidP="00EF7977">
      <w:pPr>
        <w:pStyle w:val="BodyText"/>
        <w:numPr>
          <w:ilvl w:val="0"/>
          <w:numId w:val="44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Kaylan</w:t>
      </w:r>
      <w:r w:rsidRPr="00C13BD6">
        <w:rPr>
          <w:rFonts w:cs="Arial"/>
          <w:szCs w:val="22"/>
        </w:rPr>
        <w:t>, V. Ermilova, and G. Underhill. “Deconstructing combinatorial microenvironmental regulation in hepatoblastoma using cell microarrays.” Graduate Cancer Community Fall Symposium in Urbana, IL. Sept. 2014.</w:t>
      </w:r>
    </w:p>
    <w:p w14:paraId="5796E99B" w14:textId="77777777" w:rsidR="00486C6A" w:rsidRPr="00C13BD6" w:rsidRDefault="00486C6A" w:rsidP="00EF7977">
      <w:pPr>
        <w:pStyle w:val="BodyText"/>
        <w:numPr>
          <w:ilvl w:val="0"/>
          <w:numId w:val="44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Kaylan</w:t>
      </w:r>
      <w:r w:rsidRPr="00C13BD6">
        <w:rPr>
          <w:rFonts w:cs="Arial"/>
          <w:szCs w:val="22"/>
        </w:rPr>
        <w:t>, V. Ermilova, and G. Underhill. “Arrayed microenvironments for probing liver progenitor cell fate decisions.” Biomedical Engineering Society Meeting in San Antonio, TX. Oct. 2014.</w:t>
      </w:r>
    </w:p>
    <w:p w14:paraId="3A0E692B" w14:textId="77777777" w:rsidR="00486C6A" w:rsidRPr="00C13BD6" w:rsidRDefault="00486C6A" w:rsidP="00EF7977">
      <w:pPr>
        <w:pStyle w:val="BodyText"/>
        <w:numPr>
          <w:ilvl w:val="0"/>
          <w:numId w:val="44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, S. D. Gentile, L. E. Milling, K. N. Bhinge, F. Kosari, and G. H. Underhill. “Combinatorial cell microarrays for analyzing ECM regulation of tumor cell drug response.” AAP/ASCI/APSA Joint Meeting in Chicago, IL. Apr. 2015.</w:t>
      </w:r>
    </w:p>
    <w:p w14:paraId="2804F170" w14:textId="77777777" w:rsidR="00486C6A" w:rsidRPr="00C13BD6" w:rsidRDefault="00486C6A" w:rsidP="00EF7977">
      <w:pPr>
        <w:pStyle w:val="BodyText"/>
        <w:numPr>
          <w:ilvl w:val="0"/>
          <w:numId w:val="44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, S. D. Gentile, L. E. Milling, K. N. Bhinge, F. Kosari, and G. H. Underhill. “Combinatorial cell microarrays for analyzing ECM regulation of tumor cell drug response.” University of Illinois College of Medicine Research Day in Urbana, IL. Apr. 2015.</w:t>
      </w:r>
    </w:p>
    <w:p w14:paraId="215E0712" w14:textId="77777777" w:rsidR="00486C6A" w:rsidRPr="00C13BD6" w:rsidRDefault="00486C6A" w:rsidP="00EF7977">
      <w:pPr>
        <w:pStyle w:val="BodyText"/>
        <w:numPr>
          <w:ilvl w:val="0"/>
          <w:numId w:val="44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, S. D. Gentile, L. E. Milling, K. N. Bhinge, F. Kosari, and G. H. Underhill. “Combinatorial cell microarrays for analyzing ECM regulation of tumor cell drug response.” Medical Scholars Program Retreat in Monticello, IL. Aug. 2015.</w:t>
      </w:r>
    </w:p>
    <w:p w14:paraId="351F05CB" w14:textId="77777777" w:rsidR="00486C6A" w:rsidRPr="00C13BD6" w:rsidRDefault="00486C6A" w:rsidP="00EF7977">
      <w:pPr>
        <w:pStyle w:val="BodyText"/>
        <w:numPr>
          <w:ilvl w:val="0"/>
          <w:numId w:val="44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. “Engineering microenvironments for studying liver development.” University of Illinois College of Medicine Research Day in Chicago, IL. Dec. 2017.</w:t>
      </w:r>
    </w:p>
    <w:p w14:paraId="7B10CC18" w14:textId="77777777" w:rsidR="00486C6A" w:rsidRPr="00C13BD6" w:rsidRDefault="00486C6A" w:rsidP="00EF7977">
      <w:pPr>
        <w:pStyle w:val="BodyText"/>
        <w:numPr>
          <w:ilvl w:val="0"/>
          <w:numId w:val="44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. “Engineering microenvironments for studying liver development.” University of Illinois College of Medicine, Department of Medicine Ideas on Tap Research Mixer in Chicago, IL. July 2018.</w:t>
      </w:r>
    </w:p>
    <w:p w14:paraId="4CDC1749" w14:textId="77777777" w:rsidR="00486C6A" w:rsidRPr="00C13BD6" w:rsidRDefault="00486C6A" w:rsidP="00EF7977">
      <w:pPr>
        <w:pStyle w:val="BodyText"/>
        <w:numPr>
          <w:ilvl w:val="0"/>
          <w:numId w:val="44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lastRenderedPageBreak/>
        <w:t>K. B. Kaylan</w:t>
      </w:r>
      <w:r w:rsidRPr="00C13BD6">
        <w:rPr>
          <w:rFonts w:cs="Arial"/>
          <w:szCs w:val="22"/>
        </w:rPr>
        <w:t>, S. M. Russel, C. Justice, Z. S. Chunara, L. S. McGinn, N. A. Mehta, S. N. Patil, H. R. Seyller, M. K. Sheena, and R. H. Curry. “Applying the lean startup method to structure project-based, student-driven curricular enhancements.” AAMC Central Group on Educational Affairs Spring Conference in Sioux Falls, SD (conference cancelled). Apr. 2020.</w:t>
      </w:r>
    </w:p>
    <w:p w14:paraId="2D4DE906" w14:textId="77777777" w:rsidR="00486C6A" w:rsidRPr="00C13BD6" w:rsidRDefault="00486C6A" w:rsidP="00EF7977">
      <w:pPr>
        <w:pStyle w:val="BodyText"/>
        <w:numPr>
          <w:ilvl w:val="0"/>
          <w:numId w:val="44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 xml:space="preserve">, T. Nargis, K. </w:t>
      </w:r>
      <w:proofErr w:type="spellStart"/>
      <w:r w:rsidRPr="00C13BD6">
        <w:rPr>
          <w:rFonts w:cs="Arial"/>
          <w:szCs w:val="22"/>
        </w:rPr>
        <w:t>Figatner</w:t>
      </w:r>
      <w:proofErr w:type="spellEnd"/>
      <w:r w:rsidRPr="00C13BD6">
        <w:rPr>
          <w:rFonts w:cs="Arial"/>
          <w:szCs w:val="22"/>
        </w:rPr>
        <w:t xml:space="preserve">, J. E. Wang, S. </w:t>
      </w:r>
      <w:proofErr w:type="spellStart"/>
      <w:r w:rsidRPr="00C13BD6">
        <w:rPr>
          <w:rFonts w:cs="Arial"/>
          <w:szCs w:val="22"/>
        </w:rPr>
        <w:t>Pratuangtham</w:t>
      </w:r>
      <w:proofErr w:type="spellEnd"/>
      <w:r w:rsidRPr="00C13BD6">
        <w:rPr>
          <w:rFonts w:cs="Arial"/>
          <w:szCs w:val="22"/>
        </w:rPr>
        <w:t>, A. Chakraborty, I. Casimiro, J. L. Nadler, M. B. Boxer, D. J. Maloney, R. M. Anderson, R. G. Mirmira, and S. A. Tersey. “12-Lipoxygenase inhibition improves glucose homeostasis and obesity-associated inflammation in human gene replacement mice.” AAP/ASCI/APSA Joint Meeting in Chicago, IL. Apr. 2025.</w:t>
      </w:r>
    </w:p>
    <w:p w14:paraId="12DC3A7D" w14:textId="6B90CE79" w:rsidR="00AD1973" w:rsidRPr="00C13BD6" w:rsidRDefault="00486C6A" w:rsidP="00EF7977">
      <w:pPr>
        <w:pStyle w:val="BodyText"/>
        <w:numPr>
          <w:ilvl w:val="0"/>
          <w:numId w:val="44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 xml:space="preserve">, T. Nargis, K. </w:t>
      </w:r>
      <w:proofErr w:type="spellStart"/>
      <w:r w:rsidRPr="00C13BD6">
        <w:rPr>
          <w:rFonts w:cs="Arial"/>
          <w:szCs w:val="22"/>
        </w:rPr>
        <w:t>Figatner</w:t>
      </w:r>
      <w:proofErr w:type="spellEnd"/>
      <w:r w:rsidRPr="00C13BD6">
        <w:rPr>
          <w:rFonts w:cs="Arial"/>
          <w:szCs w:val="22"/>
        </w:rPr>
        <w:t xml:space="preserve">, J. E. Wang, S. </w:t>
      </w:r>
      <w:proofErr w:type="spellStart"/>
      <w:r w:rsidRPr="00C13BD6">
        <w:rPr>
          <w:rFonts w:cs="Arial"/>
          <w:szCs w:val="22"/>
        </w:rPr>
        <w:t>Pratuangtham</w:t>
      </w:r>
      <w:proofErr w:type="spellEnd"/>
      <w:r w:rsidRPr="00C13BD6">
        <w:rPr>
          <w:rFonts w:cs="Arial"/>
          <w:szCs w:val="22"/>
        </w:rPr>
        <w:t>, A. Chakraborty, I. Casimiro, J. L. Nadler, M. B. Boxer, D. J. Maloney, R. M. Anderson, R. G. Mirmira, and S. A. Tersey. “12-Lipoxygenase inhibition improves glucose homeostasis and obesity-associated inflammation in human gene replacement mice.” Chicago Diabetes Day, Chicago, IL. May 2025.</w:t>
      </w:r>
    </w:p>
    <w:p w14:paraId="4C326252" w14:textId="67AD1C59" w:rsidR="00DE1E0F" w:rsidRPr="00C13BD6" w:rsidRDefault="00DE1E0F" w:rsidP="00DE1E0F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Abstracts</w:t>
      </w:r>
      <w:r w:rsidR="00811434" w:rsidRPr="00C13BD6">
        <w:rPr>
          <w:rFonts w:cs="Arial"/>
          <w:szCs w:val="22"/>
        </w:rPr>
        <w:t>:</w:t>
      </w:r>
      <w:r w:rsidR="00146D24" w:rsidRPr="00C13BD6">
        <w:rPr>
          <w:rFonts w:cs="Arial"/>
          <w:szCs w:val="22"/>
        </w:rPr>
        <w:t xml:space="preserve"> Oral Presentations</w:t>
      </w:r>
      <w:r w:rsidRPr="00C13BD6">
        <w:rPr>
          <w:rFonts w:cs="Arial"/>
          <w:szCs w:val="22"/>
        </w:rPr>
        <w:t xml:space="preserve"> by Co-Authors</w:t>
      </w:r>
    </w:p>
    <w:p w14:paraId="31CDFEB2" w14:textId="1F98A0B4" w:rsidR="00AF764B" w:rsidRPr="00C13BD6" w:rsidRDefault="00486C6A" w:rsidP="00486C6A">
      <w:pPr>
        <w:pStyle w:val="BodyText"/>
        <w:numPr>
          <w:ilvl w:val="0"/>
          <w:numId w:val="30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A. </w:t>
      </w:r>
      <w:r w:rsidR="00AF764B" w:rsidRPr="00C13BD6">
        <w:rPr>
          <w:rFonts w:cs="Arial"/>
          <w:szCs w:val="22"/>
        </w:rPr>
        <w:t xml:space="preserve">P. Kourouklis, </w:t>
      </w:r>
      <w:r w:rsidR="00AF764B" w:rsidRPr="00C13BD6">
        <w:rPr>
          <w:rFonts w:cs="Arial"/>
          <w:b/>
          <w:bCs/>
          <w:szCs w:val="22"/>
        </w:rPr>
        <w:t>K. B. Kaylan</w:t>
      </w:r>
      <w:r w:rsidR="00AF764B" w:rsidRPr="00C13BD6">
        <w:rPr>
          <w:rFonts w:cs="Arial"/>
          <w:szCs w:val="22"/>
        </w:rPr>
        <w:t xml:space="preserve">, and G. H. Underhill. “Matrix Composition and Biophysical Characteristics Coordinately Influence Liver Progenitor Differentiation”. American Society of Mechanical Engineers </w:t>
      </w:r>
      <w:proofErr w:type="spellStart"/>
      <w:r w:rsidR="00AF764B" w:rsidRPr="00C13BD6">
        <w:rPr>
          <w:rFonts w:cs="Arial"/>
          <w:szCs w:val="22"/>
        </w:rPr>
        <w:t>NanoEngineering</w:t>
      </w:r>
      <w:proofErr w:type="spellEnd"/>
      <w:r w:rsidR="00AF764B" w:rsidRPr="00C13BD6">
        <w:rPr>
          <w:rFonts w:cs="Arial"/>
          <w:szCs w:val="22"/>
        </w:rPr>
        <w:t xml:space="preserve"> for Medicine and Biology Conference in Houston, TX. Feb. 2016. URL: https://www.asme.org/wwwasmeorg/ media/</w:t>
      </w:r>
      <w:proofErr w:type="spellStart"/>
      <w:r w:rsidR="00AF764B" w:rsidRPr="00C13BD6">
        <w:rPr>
          <w:rFonts w:cs="Arial"/>
          <w:szCs w:val="22"/>
        </w:rPr>
        <w:t>ResourceFiles</w:t>
      </w:r>
      <w:proofErr w:type="spellEnd"/>
      <w:r w:rsidR="00AF764B" w:rsidRPr="00C13BD6">
        <w:rPr>
          <w:rFonts w:cs="Arial"/>
          <w:szCs w:val="22"/>
        </w:rPr>
        <w:t>/Events/NEMB/NEMB2016FinalProgram.pdf.</w:t>
      </w:r>
    </w:p>
    <w:p w14:paraId="41158DC5" w14:textId="14BB11BA" w:rsidR="00AF764B" w:rsidRPr="00C13BD6" w:rsidRDefault="00486C6A" w:rsidP="00486C6A">
      <w:pPr>
        <w:pStyle w:val="BodyText"/>
        <w:numPr>
          <w:ilvl w:val="0"/>
          <w:numId w:val="30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A. </w:t>
      </w:r>
      <w:r w:rsidR="00AF764B" w:rsidRPr="00C13BD6">
        <w:rPr>
          <w:rFonts w:cs="Arial"/>
          <w:szCs w:val="22"/>
        </w:rPr>
        <w:t xml:space="preserve">P. Kourouklis, </w:t>
      </w:r>
      <w:r w:rsidR="00AF764B" w:rsidRPr="00C13BD6">
        <w:rPr>
          <w:rFonts w:cs="Arial"/>
          <w:b/>
          <w:bCs/>
          <w:szCs w:val="22"/>
        </w:rPr>
        <w:t>K. B. Kaylan</w:t>
      </w:r>
      <w:r w:rsidR="00AF764B" w:rsidRPr="00C13BD6">
        <w:rPr>
          <w:rFonts w:cs="Arial"/>
          <w:szCs w:val="22"/>
        </w:rPr>
        <w:t>, and G. H. Underhill. “Combinatorial ECM Arrays Reveal the Effects of Biomechanics in Liver Progenitor Differentiation”. Biomedical Engineering Society Annual Meeting in Minneapolis, MN. Oct. 2016.</w:t>
      </w:r>
    </w:p>
    <w:p w14:paraId="7DB5F0CD" w14:textId="77777777" w:rsidR="00AF764B" w:rsidRPr="00C13BD6" w:rsidRDefault="00AF764B" w:rsidP="00486C6A">
      <w:pPr>
        <w:pStyle w:val="BodyText"/>
        <w:numPr>
          <w:ilvl w:val="0"/>
          <w:numId w:val="30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Kaylan</w:t>
      </w:r>
      <w:r w:rsidRPr="00C13BD6">
        <w:rPr>
          <w:rFonts w:cs="Arial"/>
          <w:szCs w:val="22"/>
        </w:rPr>
        <w:t>, I. Berg, and G. Underhill. “Notch Signaling Coordinates with Cell Contractility to Drive Biliary Differentiation of Liver Progenitor Cells”. Biomedical Engineering Society Annual Meeting in Phoenix, AZ. Oct. 2017.</w:t>
      </w:r>
    </w:p>
    <w:p w14:paraId="081A4763" w14:textId="65B51F42" w:rsidR="00AF764B" w:rsidRPr="00C13BD6" w:rsidRDefault="00486C6A" w:rsidP="00486C6A">
      <w:pPr>
        <w:pStyle w:val="BodyText"/>
        <w:numPr>
          <w:ilvl w:val="0"/>
          <w:numId w:val="30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C. </w:t>
      </w:r>
      <w:r w:rsidR="00AF764B" w:rsidRPr="00C13BD6">
        <w:rPr>
          <w:rFonts w:cs="Arial"/>
          <w:szCs w:val="22"/>
        </w:rPr>
        <w:t xml:space="preserve">P. Monckton, A. Brougham-Cook, </w:t>
      </w:r>
      <w:r w:rsidR="00AF764B" w:rsidRPr="00C13BD6">
        <w:rPr>
          <w:rFonts w:cs="Arial"/>
          <w:b/>
          <w:bCs/>
          <w:szCs w:val="22"/>
        </w:rPr>
        <w:t>K. B. Kaylan</w:t>
      </w:r>
      <w:r w:rsidR="00AF764B" w:rsidRPr="00C13BD6">
        <w:rPr>
          <w:rFonts w:cs="Arial"/>
          <w:szCs w:val="22"/>
        </w:rPr>
        <w:t xml:space="preserve">, G. H. Underhill, and S. R. Khetani. “Engineering robust </w:t>
      </w:r>
      <w:proofErr w:type="spellStart"/>
      <w:r w:rsidR="00AF764B" w:rsidRPr="00C13BD6">
        <w:rPr>
          <w:rFonts w:cs="Arial"/>
          <w:szCs w:val="22"/>
        </w:rPr>
        <w:t>chemomechanical</w:t>
      </w:r>
      <w:proofErr w:type="spellEnd"/>
      <w:r w:rsidR="00AF764B" w:rsidRPr="00C13BD6">
        <w:rPr>
          <w:rFonts w:cs="Arial"/>
          <w:szCs w:val="22"/>
        </w:rPr>
        <w:t xml:space="preserve"> microenvironments for human hepatocytes using cell microarrays”. Biomedical Engineering Society Annual Meeting in Philadelphia, PA. Oct. 2019.</w:t>
      </w:r>
    </w:p>
    <w:p w14:paraId="5E830A41" w14:textId="6F075A26" w:rsidR="00E276F3" w:rsidRPr="00C13BD6" w:rsidRDefault="00AF764B" w:rsidP="00486C6A">
      <w:pPr>
        <w:pStyle w:val="BodyText"/>
        <w:numPr>
          <w:ilvl w:val="0"/>
          <w:numId w:val="30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N. A. Mehta, S. N. Patil, H. R. Seyller, Z. S. Chunara, L. S. McGinn, </w:t>
      </w: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>, and L. E. Hirshfield. “The Impact of Learning Culture on Student USMLE Step 1 Preparation: A Qualitative study”. AAMC Central Group on Educational Affairs Spring Conference in Sioux Falls, SD (conference cancelled). Apr. 2020.</w:t>
      </w:r>
    </w:p>
    <w:p w14:paraId="38A0B7A3" w14:textId="49BDBD73" w:rsidR="00DE1E0F" w:rsidRPr="00C13BD6" w:rsidRDefault="00DE1E0F" w:rsidP="00146D24">
      <w:pPr>
        <w:pStyle w:val="Heading2"/>
        <w:rPr>
          <w:rFonts w:cs="Arial"/>
          <w:szCs w:val="22"/>
        </w:rPr>
      </w:pPr>
      <w:r w:rsidRPr="00C13BD6">
        <w:rPr>
          <w:rFonts w:cs="Arial"/>
          <w:szCs w:val="22"/>
        </w:rPr>
        <w:t>Abstracts</w:t>
      </w:r>
      <w:r w:rsidR="00811434" w:rsidRPr="00C13BD6">
        <w:rPr>
          <w:rFonts w:cs="Arial"/>
          <w:szCs w:val="22"/>
        </w:rPr>
        <w:t>:</w:t>
      </w:r>
      <w:r w:rsidR="00146D24" w:rsidRPr="00C13BD6">
        <w:rPr>
          <w:rFonts w:cs="Arial"/>
          <w:szCs w:val="22"/>
        </w:rPr>
        <w:t xml:space="preserve"> Poster Presentations </w:t>
      </w:r>
      <w:r w:rsidRPr="00C13BD6">
        <w:rPr>
          <w:rFonts w:cs="Arial"/>
          <w:szCs w:val="22"/>
        </w:rPr>
        <w:t>by Co-Authors</w:t>
      </w:r>
    </w:p>
    <w:p w14:paraId="64C93923" w14:textId="2880EDF1" w:rsidR="00AF764B" w:rsidRPr="00C13BD6" w:rsidRDefault="00AF764B" w:rsidP="00AF764B">
      <w:pPr>
        <w:pStyle w:val="BodyText"/>
        <w:numPr>
          <w:ilvl w:val="0"/>
          <w:numId w:val="27"/>
        </w:numPr>
        <w:rPr>
          <w:rFonts w:cs="Arial"/>
          <w:szCs w:val="22"/>
        </w:rPr>
      </w:pPr>
      <w:r w:rsidRPr="00C13BD6">
        <w:rPr>
          <w:rFonts w:cs="Arial"/>
          <w:szCs w:val="22"/>
        </w:rPr>
        <w:t xml:space="preserve">L. T. Raetzman, M. J. Biehl, </w:t>
      </w:r>
      <w:r w:rsidRPr="00C13BD6">
        <w:rPr>
          <w:rFonts w:cs="Arial"/>
          <w:b/>
          <w:bCs/>
          <w:szCs w:val="22"/>
        </w:rPr>
        <w:t>K. B. Kaylan</w:t>
      </w:r>
      <w:r w:rsidRPr="00C13BD6">
        <w:rPr>
          <w:rFonts w:cs="Arial"/>
          <w:szCs w:val="22"/>
        </w:rPr>
        <w:t xml:space="preserve">, and G. H. Underhill. “Uncovering the role of Notch signaling in early hypothalamic fate choices using primary </w:t>
      </w:r>
      <w:proofErr w:type="spellStart"/>
      <w:r w:rsidRPr="00C13BD6">
        <w:rPr>
          <w:rFonts w:cs="Arial"/>
          <w:szCs w:val="22"/>
        </w:rPr>
        <w:t>neurospheres</w:t>
      </w:r>
      <w:proofErr w:type="spellEnd"/>
      <w:r w:rsidRPr="00C13BD6">
        <w:rPr>
          <w:rFonts w:cs="Arial"/>
          <w:szCs w:val="22"/>
        </w:rPr>
        <w:t xml:space="preserve"> and microenvironment arrays”. Gordon Research Conference: Notch Signaling in Development, Regeneration and Disease in Lewiston, ME. June 2016.</w:t>
      </w:r>
    </w:p>
    <w:p w14:paraId="1DE4FA57" w14:textId="16DD3B6E" w:rsidR="00146D24" w:rsidRPr="00C13BD6" w:rsidRDefault="00E276F3" w:rsidP="00146D24">
      <w:pPr>
        <w:pStyle w:val="BodyText"/>
        <w:numPr>
          <w:ilvl w:val="0"/>
          <w:numId w:val="27"/>
        </w:numPr>
        <w:rPr>
          <w:rFonts w:cs="Arial"/>
          <w:szCs w:val="22"/>
        </w:rPr>
      </w:pPr>
      <w:r w:rsidRPr="00C13BD6">
        <w:rPr>
          <w:rFonts w:cs="Arial"/>
          <w:b/>
          <w:bCs/>
          <w:szCs w:val="22"/>
        </w:rPr>
        <w:t>K. Kaylan</w:t>
      </w:r>
      <w:r w:rsidRPr="00C13BD6">
        <w:rPr>
          <w:rFonts w:cs="Arial"/>
          <w:szCs w:val="22"/>
        </w:rPr>
        <w:t>, I. Berg, and G. Underhill. “Notch signaling coordinates with cell contractility to regulate biliary differentiation of liver progenitor cells”. Biomedical Engineering Society: Cellular and Molecular Bioengineering Conference in Key Largo, FL. Jan. 2018. URL: https://www.bmes.org/files/CMBE_P58.pdf.</w:t>
      </w:r>
    </w:p>
    <w:sectPr w:rsidR="00146D24" w:rsidRPr="00C13BD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946289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F252F3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1CC0D1D"/>
    <w:multiLevelType w:val="hybridMultilevel"/>
    <w:tmpl w:val="7518B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372237"/>
    <w:multiLevelType w:val="hybridMultilevel"/>
    <w:tmpl w:val="9B64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B4FCF"/>
    <w:multiLevelType w:val="hybridMultilevel"/>
    <w:tmpl w:val="8BEC51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E6C6BA9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B67EC"/>
    <w:multiLevelType w:val="hybridMultilevel"/>
    <w:tmpl w:val="2F46E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86666"/>
    <w:multiLevelType w:val="hybridMultilevel"/>
    <w:tmpl w:val="45BA5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C1209"/>
    <w:multiLevelType w:val="hybridMultilevel"/>
    <w:tmpl w:val="30EC5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18CBA3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6057B"/>
    <w:multiLevelType w:val="hybridMultilevel"/>
    <w:tmpl w:val="BCC44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22A14"/>
    <w:multiLevelType w:val="hybridMultilevel"/>
    <w:tmpl w:val="DCD0D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217C8"/>
    <w:multiLevelType w:val="hybridMultilevel"/>
    <w:tmpl w:val="033A1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4FD9"/>
    <w:multiLevelType w:val="hybridMultilevel"/>
    <w:tmpl w:val="8BEC51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11AB2"/>
    <w:multiLevelType w:val="hybridMultilevel"/>
    <w:tmpl w:val="DDC45D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FF68CA"/>
    <w:multiLevelType w:val="hybridMultilevel"/>
    <w:tmpl w:val="371A66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07845"/>
    <w:multiLevelType w:val="hybridMultilevel"/>
    <w:tmpl w:val="7FBAA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F4707"/>
    <w:multiLevelType w:val="hybridMultilevel"/>
    <w:tmpl w:val="A232F3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D88BB2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A1F68"/>
    <w:multiLevelType w:val="hybridMultilevel"/>
    <w:tmpl w:val="45BA5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F6E78"/>
    <w:multiLevelType w:val="hybridMultilevel"/>
    <w:tmpl w:val="84E00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E1066"/>
    <w:multiLevelType w:val="hybridMultilevel"/>
    <w:tmpl w:val="99CC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9A65D2"/>
    <w:multiLevelType w:val="hybridMultilevel"/>
    <w:tmpl w:val="8AF8AD1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B5755D"/>
    <w:multiLevelType w:val="hybridMultilevel"/>
    <w:tmpl w:val="8A1A8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B4021"/>
    <w:multiLevelType w:val="hybridMultilevel"/>
    <w:tmpl w:val="FAD68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E43DA"/>
    <w:multiLevelType w:val="hybridMultilevel"/>
    <w:tmpl w:val="43464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87B2C"/>
    <w:multiLevelType w:val="hybridMultilevel"/>
    <w:tmpl w:val="0F2EB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57CE3"/>
    <w:multiLevelType w:val="hybridMultilevel"/>
    <w:tmpl w:val="B32AED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A75803"/>
    <w:multiLevelType w:val="hybridMultilevel"/>
    <w:tmpl w:val="5D1C6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C33B79"/>
    <w:multiLevelType w:val="hybridMultilevel"/>
    <w:tmpl w:val="9AC02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162B7"/>
    <w:multiLevelType w:val="hybridMultilevel"/>
    <w:tmpl w:val="B6D6A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64310C"/>
    <w:multiLevelType w:val="hybridMultilevel"/>
    <w:tmpl w:val="CDDAAF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50E3B"/>
    <w:multiLevelType w:val="hybridMultilevel"/>
    <w:tmpl w:val="8BEC51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759E8"/>
    <w:multiLevelType w:val="multilevel"/>
    <w:tmpl w:val="F252F3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5D387708"/>
    <w:multiLevelType w:val="hybridMultilevel"/>
    <w:tmpl w:val="6DF6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081BD2"/>
    <w:multiLevelType w:val="hybridMultilevel"/>
    <w:tmpl w:val="FE34D0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CF1A9D"/>
    <w:multiLevelType w:val="multilevel"/>
    <w:tmpl w:val="F252F3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625B020F"/>
    <w:multiLevelType w:val="hybridMultilevel"/>
    <w:tmpl w:val="E7B6E3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0E23FF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87F1E1D"/>
    <w:multiLevelType w:val="hybridMultilevel"/>
    <w:tmpl w:val="F6D86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C15D4"/>
    <w:multiLevelType w:val="hybridMultilevel"/>
    <w:tmpl w:val="093A5E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882E6C"/>
    <w:multiLevelType w:val="hybridMultilevel"/>
    <w:tmpl w:val="8BEC51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C40C2"/>
    <w:multiLevelType w:val="multilevel"/>
    <w:tmpl w:val="F252F3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78A77F52"/>
    <w:multiLevelType w:val="hybridMultilevel"/>
    <w:tmpl w:val="2C8C4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AE114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B06B4"/>
    <w:multiLevelType w:val="multilevel"/>
    <w:tmpl w:val="F252F3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1" w15:restartNumberingAfterBreak="0">
    <w:nsid w:val="7F937AD5"/>
    <w:multiLevelType w:val="hybridMultilevel"/>
    <w:tmpl w:val="13423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582276">
    <w:abstractNumId w:val="0"/>
  </w:num>
  <w:num w:numId="2" w16cid:durableId="15456763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3607883">
    <w:abstractNumId w:val="1"/>
  </w:num>
  <w:num w:numId="4" w16cid:durableId="11898739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4329295">
    <w:abstractNumId w:val="40"/>
  </w:num>
  <w:num w:numId="6" w16cid:durableId="1702895096">
    <w:abstractNumId w:val="35"/>
  </w:num>
  <w:num w:numId="7" w16cid:durableId="1725981335">
    <w:abstractNumId w:val="24"/>
  </w:num>
  <w:num w:numId="8" w16cid:durableId="960721304">
    <w:abstractNumId w:val="39"/>
  </w:num>
  <w:num w:numId="9" w16cid:durableId="949896994">
    <w:abstractNumId w:val="7"/>
  </w:num>
  <w:num w:numId="10" w16cid:durableId="1500005238">
    <w:abstractNumId w:val="13"/>
  </w:num>
  <w:num w:numId="11" w16cid:durableId="663977060">
    <w:abstractNumId w:val="32"/>
  </w:num>
  <w:num w:numId="12" w16cid:durableId="1659070128">
    <w:abstractNumId w:val="12"/>
  </w:num>
  <w:num w:numId="13" w16cid:durableId="105741111">
    <w:abstractNumId w:val="18"/>
  </w:num>
  <w:num w:numId="14" w16cid:durableId="985935504">
    <w:abstractNumId w:val="41"/>
  </w:num>
  <w:num w:numId="15" w16cid:durableId="1877354084">
    <w:abstractNumId w:val="2"/>
  </w:num>
  <w:num w:numId="16" w16cid:durableId="410660918">
    <w:abstractNumId w:val="26"/>
  </w:num>
  <w:num w:numId="17" w16cid:durableId="371153337">
    <w:abstractNumId w:val="31"/>
  </w:num>
  <w:num w:numId="18" w16cid:durableId="416174529">
    <w:abstractNumId w:val="5"/>
  </w:num>
  <w:num w:numId="19" w16cid:durableId="1952124991">
    <w:abstractNumId w:val="34"/>
  </w:num>
  <w:num w:numId="20" w16cid:durableId="2107190846">
    <w:abstractNumId w:val="19"/>
  </w:num>
  <w:num w:numId="21" w16cid:durableId="300617039">
    <w:abstractNumId w:val="23"/>
  </w:num>
  <w:num w:numId="22" w16cid:durableId="1590044081">
    <w:abstractNumId w:val="8"/>
  </w:num>
  <w:num w:numId="23" w16cid:durableId="664746289">
    <w:abstractNumId w:val="21"/>
  </w:num>
  <w:num w:numId="24" w16cid:durableId="237401301">
    <w:abstractNumId w:val="4"/>
  </w:num>
  <w:num w:numId="25" w16cid:durableId="76296089">
    <w:abstractNumId w:val="15"/>
  </w:num>
  <w:num w:numId="26" w16cid:durableId="797800710">
    <w:abstractNumId w:val="14"/>
  </w:num>
  <w:num w:numId="27" w16cid:durableId="316150797">
    <w:abstractNumId w:val="36"/>
  </w:num>
  <w:num w:numId="28" w16cid:durableId="1517693346">
    <w:abstractNumId w:val="28"/>
  </w:num>
  <w:num w:numId="29" w16cid:durableId="1863937969">
    <w:abstractNumId w:val="22"/>
  </w:num>
  <w:num w:numId="30" w16cid:durableId="1691953421">
    <w:abstractNumId w:val="3"/>
  </w:num>
  <w:num w:numId="31" w16cid:durableId="677774442">
    <w:abstractNumId w:val="6"/>
  </w:num>
  <w:num w:numId="32" w16cid:durableId="1035235055">
    <w:abstractNumId w:val="9"/>
  </w:num>
  <w:num w:numId="33" w16cid:durableId="273681663">
    <w:abstractNumId w:val="27"/>
  </w:num>
  <w:num w:numId="34" w16cid:durableId="1408108279">
    <w:abstractNumId w:val="25"/>
  </w:num>
  <w:num w:numId="35" w16cid:durableId="252056294">
    <w:abstractNumId w:val="10"/>
  </w:num>
  <w:num w:numId="36" w16cid:durableId="23752425">
    <w:abstractNumId w:val="17"/>
  </w:num>
  <w:num w:numId="37" w16cid:durableId="239558740">
    <w:abstractNumId w:val="20"/>
  </w:num>
  <w:num w:numId="38" w16cid:durableId="634720529">
    <w:abstractNumId w:val="38"/>
  </w:num>
  <w:num w:numId="39" w16cid:durableId="1926962820">
    <w:abstractNumId w:val="30"/>
  </w:num>
  <w:num w:numId="40" w16cid:durableId="702904210">
    <w:abstractNumId w:val="33"/>
  </w:num>
  <w:num w:numId="41" w16cid:durableId="233899449">
    <w:abstractNumId w:val="11"/>
  </w:num>
  <w:num w:numId="42" w16cid:durableId="758135623">
    <w:abstractNumId w:val="29"/>
  </w:num>
  <w:num w:numId="43" w16cid:durableId="339040644">
    <w:abstractNumId w:val="37"/>
  </w:num>
  <w:num w:numId="44" w16cid:durableId="1807006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745"/>
    <w:rsid w:val="00057386"/>
    <w:rsid w:val="00060367"/>
    <w:rsid w:val="00065D74"/>
    <w:rsid w:val="000C2AD7"/>
    <w:rsid w:val="000E6EC6"/>
    <w:rsid w:val="0012409F"/>
    <w:rsid w:val="00143C31"/>
    <w:rsid w:val="00146D24"/>
    <w:rsid w:val="00180668"/>
    <w:rsid w:val="00184CED"/>
    <w:rsid w:val="001865C2"/>
    <w:rsid w:val="00192239"/>
    <w:rsid w:val="00210019"/>
    <w:rsid w:val="0022138E"/>
    <w:rsid w:val="00222A5D"/>
    <w:rsid w:val="00222C0A"/>
    <w:rsid w:val="002618EA"/>
    <w:rsid w:val="00266EF6"/>
    <w:rsid w:val="00266F2D"/>
    <w:rsid w:val="00284880"/>
    <w:rsid w:val="002A58BB"/>
    <w:rsid w:val="002B46C0"/>
    <w:rsid w:val="002C60CD"/>
    <w:rsid w:val="0030208F"/>
    <w:rsid w:val="00332909"/>
    <w:rsid w:val="00342A42"/>
    <w:rsid w:val="003950D0"/>
    <w:rsid w:val="003C5014"/>
    <w:rsid w:val="003D0B74"/>
    <w:rsid w:val="003D1299"/>
    <w:rsid w:val="003D6DBE"/>
    <w:rsid w:val="003E41CA"/>
    <w:rsid w:val="00424BE6"/>
    <w:rsid w:val="00474358"/>
    <w:rsid w:val="00474F38"/>
    <w:rsid w:val="00486C6A"/>
    <w:rsid w:val="00496E7E"/>
    <w:rsid w:val="004B396B"/>
    <w:rsid w:val="004B3F68"/>
    <w:rsid w:val="004D1011"/>
    <w:rsid w:val="004D35FD"/>
    <w:rsid w:val="004F65A3"/>
    <w:rsid w:val="004F69FF"/>
    <w:rsid w:val="00521811"/>
    <w:rsid w:val="00550B10"/>
    <w:rsid w:val="005556BD"/>
    <w:rsid w:val="00555B23"/>
    <w:rsid w:val="005734A7"/>
    <w:rsid w:val="00584838"/>
    <w:rsid w:val="00584880"/>
    <w:rsid w:val="0058527A"/>
    <w:rsid w:val="00585C8F"/>
    <w:rsid w:val="005A2057"/>
    <w:rsid w:val="005A7E06"/>
    <w:rsid w:val="005B7FAF"/>
    <w:rsid w:val="005C1288"/>
    <w:rsid w:val="005C2068"/>
    <w:rsid w:val="005E224A"/>
    <w:rsid w:val="005F3145"/>
    <w:rsid w:val="005F3A81"/>
    <w:rsid w:val="00616E2B"/>
    <w:rsid w:val="00621836"/>
    <w:rsid w:val="006341E6"/>
    <w:rsid w:val="00634968"/>
    <w:rsid w:val="00650E64"/>
    <w:rsid w:val="006544DD"/>
    <w:rsid w:val="006801AE"/>
    <w:rsid w:val="00683F69"/>
    <w:rsid w:val="006B0C0F"/>
    <w:rsid w:val="006B1BEF"/>
    <w:rsid w:val="006C57DD"/>
    <w:rsid w:val="00702409"/>
    <w:rsid w:val="00702D56"/>
    <w:rsid w:val="00707506"/>
    <w:rsid w:val="00715A25"/>
    <w:rsid w:val="007303A6"/>
    <w:rsid w:val="007500A8"/>
    <w:rsid w:val="00766497"/>
    <w:rsid w:val="0078442E"/>
    <w:rsid w:val="007B5419"/>
    <w:rsid w:val="007D79DE"/>
    <w:rsid w:val="00811434"/>
    <w:rsid w:val="0081736A"/>
    <w:rsid w:val="008234CD"/>
    <w:rsid w:val="00824543"/>
    <w:rsid w:val="008578C3"/>
    <w:rsid w:val="008638EC"/>
    <w:rsid w:val="008644B1"/>
    <w:rsid w:val="00891BFD"/>
    <w:rsid w:val="008A39C0"/>
    <w:rsid w:val="008B1248"/>
    <w:rsid w:val="008C22C4"/>
    <w:rsid w:val="008C3E8E"/>
    <w:rsid w:val="008E1C19"/>
    <w:rsid w:val="008E3580"/>
    <w:rsid w:val="008F4BFD"/>
    <w:rsid w:val="009018CC"/>
    <w:rsid w:val="00934F87"/>
    <w:rsid w:val="00983485"/>
    <w:rsid w:val="009851B3"/>
    <w:rsid w:val="009A7597"/>
    <w:rsid w:val="009D46F5"/>
    <w:rsid w:val="009D6E66"/>
    <w:rsid w:val="009E5A12"/>
    <w:rsid w:val="009F4294"/>
    <w:rsid w:val="00A37265"/>
    <w:rsid w:val="00A4112E"/>
    <w:rsid w:val="00A4790F"/>
    <w:rsid w:val="00A67213"/>
    <w:rsid w:val="00A777B8"/>
    <w:rsid w:val="00A805AB"/>
    <w:rsid w:val="00AD1973"/>
    <w:rsid w:val="00AD24D1"/>
    <w:rsid w:val="00AD74DE"/>
    <w:rsid w:val="00AE3C01"/>
    <w:rsid w:val="00AE7EF4"/>
    <w:rsid w:val="00AF0987"/>
    <w:rsid w:val="00AF5240"/>
    <w:rsid w:val="00AF6996"/>
    <w:rsid w:val="00AF764B"/>
    <w:rsid w:val="00B01BDF"/>
    <w:rsid w:val="00B02B5A"/>
    <w:rsid w:val="00B06713"/>
    <w:rsid w:val="00B0792B"/>
    <w:rsid w:val="00B45961"/>
    <w:rsid w:val="00B6182F"/>
    <w:rsid w:val="00B6590A"/>
    <w:rsid w:val="00B66E3D"/>
    <w:rsid w:val="00B83745"/>
    <w:rsid w:val="00B914A6"/>
    <w:rsid w:val="00BB0F96"/>
    <w:rsid w:val="00BC13F6"/>
    <w:rsid w:val="00BC55E2"/>
    <w:rsid w:val="00BC5B02"/>
    <w:rsid w:val="00BE1839"/>
    <w:rsid w:val="00BE1C10"/>
    <w:rsid w:val="00C02D57"/>
    <w:rsid w:val="00C13BD6"/>
    <w:rsid w:val="00C2430A"/>
    <w:rsid w:val="00C24625"/>
    <w:rsid w:val="00C27F27"/>
    <w:rsid w:val="00C75B83"/>
    <w:rsid w:val="00C767CF"/>
    <w:rsid w:val="00C863EF"/>
    <w:rsid w:val="00CA0085"/>
    <w:rsid w:val="00CA1AF5"/>
    <w:rsid w:val="00CA7E37"/>
    <w:rsid w:val="00CB02C3"/>
    <w:rsid w:val="00CB10F6"/>
    <w:rsid w:val="00CE07EE"/>
    <w:rsid w:val="00CE7BE6"/>
    <w:rsid w:val="00CF6745"/>
    <w:rsid w:val="00D11CBC"/>
    <w:rsid w:val="00D178AE"/>
    <w:rsid w:val="00D248AA"/>
    <w:rsid w:val="00D53B2E"/>
    <w:rsid w:val="00D60ECC"/>
    <w:rsid w:val="00D67C06"/>
    <w:rsid w:val="00D81C8E"/>
    <w:rsid w:val="00D83D00"/>
    <w:rsid w:val="00D87947"/>
    <w:rsid w:val="00D921D4"/>
    <w:rsid w:val="00D96E85"/>
    <w:rsid w:val="00DE1AF8"/>
    <w:rsid w:val="00DE1E0F"/>
    <w:rsid w:val="00E276F3"/>
    <w:rsid w:val="00E94C36"/>
    <w:rsid w:val="00EB79AA"/>
    <w:rsid w:val="00EF6B6B"/>
    <w:rsid w:val="00EF7977"/>
    <w:rsid w:val="00F1300B"/>
    <w:rsid w:val="00F64353"/>
    <w:rsid w:val="00F87BA4"/>
    <w:rsid w:val="00F92432"/>
    <w:rsid w:val="00F97F54"/>
    <w:rsid w:val="00FD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4D303"/>
  <w15:docId w15:val="{E8D93158-0FAC-564F-AE5E-D9AC4AA6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41CA"/>
  </w:style>
  <w:style w:type="paragraph" w:styleId="Heading1">
    <w:name w:val="heading 1"/>
    <w:basedOn w:val="Normal"/>
    <w:next w:val="BodyText"/>
    <w:link w:val="Heading1Char"/>
    <w:uiPriority w:val="9"/>
    <w:qFormat/>
    <w:rsid w:val="000E6EC6"/>
    <w:pPr>
      <w:keepNext/>
      <w:keepLines/>
      <w:spacing w:before="120" w:after="0"/>
      <w:outlineLvl w:val="0"/>
    </w:pPr>
    <w:rPr>
      <w:rFonts w:ascii="Arial" w:eastAsiaTheme="majorEastAsia" w:hAnsi="Arial" w:cs="Times New Roman (Headings CS)"/>
      <w:b/>
      <w:caps/>
      <w:sz w:val="22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E6EC6"/>
    <w:pPr>
      <w:keepNext/>
      <w:keepLines/>
      <w:spacing w:before="120" w:after="0"/>
      <w:outlineLvl w:val="1"/>
    </w:pPr>
    <w:rPr>
      <w:rFonts w:ascii="Arial" w:eastAsiaTheme="majorEastAsia" w:hAnsi="Arial" w:cstheme="majorBidi"/>
      <w:i/>
      <w:sz w:val="22"/>
      <w:szCs w:val="32"/>
      <w:u w:val="single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F6B6B"/>
    <w:pPr>
      <w:keepNext/>
      <w:keepLines/>
      <w:spacing w:before="120" w:after="0"/>
      <w:outlineLvl w:val="2"/>
    </w:pPr>
    <w:rPr>
      <w:rFonts w:ascii="Arial" w:eastAsiaTheme="majorEastAsia" w:hAnsi="Arial" w:cstheme="majorBidi"/>
      <w:i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46F5"/>
    <w:pPr>
      <w:spacing w:after="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0E6EC6"/>
    <w:rPr>
      <w:rFonts w:ascii="Arial" w:eastAsiaTheme="majorEastAsia" w:hAnsi="Arial" w:cs="Times New Roman (Headings CS)"/>
      <w:b/>
      <w:caps/>
      <w:sz w:val="2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6EC6"/>
    <w:rPr>
      <w:rFonts w:ascii="Arial" w:eastAsiaTheme="majorEastAsia" w:hAnsi="Arial" w:cstheme="majorBidi"/>
      <w:i/>
      <w:sz w:val="2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F6B6B"/>
    <w:rPr>
      <w:rFonts w:ascii="Arial" w:eastAsiaTheme="majorEastAsia" w:hAnsi="Arial" w:cstheme="majorBidi"/>
      <w:i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11CBC"/>
    <w:rPr>
      <w:color w:val="605E5C"/>
      <w:shd w:val="clear" w:color="auto" w:fill="E1DFDD"/>
    </w:rPr>
  </w:style>
  <w:style w:type="table" w:styleId="TableGrid">
    <w:name w:val="Table Grid"/>
    <w:basedOn w:val="TableNormal"/>
    <w:rsid w:val="001806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rsid w:val="0018066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rsid w:val="0018066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18066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18066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9D46F5"/>
    <w:rPr>
      <w:rFonts w:ascii="Arial" w:hAnsi="Arial"/>
      <w:sz w:val="22"/>
    </w:rPr>
  </w:style>
  <w:style w:type="paragraph" w:styleId="ListParagraph">
    <w:name w:val="List Paragraph"/>
    <w:basedOn w:val="Normal"/>
    <w:rsid w:val="00A4112E"/>
    <w:pPr>
      <w:ind w:left="720"/>
      <w:contextualSpacing/>
    </w:pPr>
  </w:style>
  <w:style w:type="character" w:styleId="CommentReference">
    <w:name w:val="annotation reference"/>
    <w:basedOn w:val="DefaultParagraphFont"/>
    <w:rsid w:val="00A67213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7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672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A67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7213"/>
    <w:rPr>
      <w:b/>
      <w:bCs/>
      <w:sz w:val="20"/>
      <w:szCs w:val="20"/>
    </w:rPr>
  </w:style>
  <w:style w:type="paragraph" w:customStyle="1" w:styleId="p1">
    <w:name w:val="p1"/>
    <w:basedOn w:val="Normal"/>
    <w:rsid w:val="001865C2"/>
    <w:pPr>
      <w:spacing w:after="0"/>
    </w:pPr>
    <w:rPr>
      <w:rFonts w:ascii="Helvetica" w:eastAsia="Times New Roman" w:hAnsi="Helvetica" w:cs="Times New Roman"/>
      <w:color w:val="000000"/>
      <w:sz w:val="15"/>
      <w:szCs w:val="15"/>
    </w:rPr>
  </w:style>
  <w:style w:type="paragraph" w:customStyle="1" w:styleId="p2">
    <w:name w:val="p2"/>
    <w:basedOn w:val="Normal"/>
    <w:rsid w:val="001865C2"/>
    <w:pPr>
      <w:spacing w:after="0"/>
    </w:pPr>
    <w:rPr>
      <w:rFonts w:ascii="Helvetica" w:eastAsia="Times New Roman" w:hAnsi="Helvetica" w:cs="Times New Roman"/>
      <w:color w:val="000000"/>
      <w:sz w:val="16"/>
      <w:szCs w:val="16"/>
    </w:rPr>
  </w:style>
  <w:style w:type="paragraph" w:customStyle="1" w:styleId="p3">
    <w:name w:val="p3"/>
    <w:basedOn w:val="Normal"/>
    <w:rsid w:val="001865C2"/>
    <w:pPr>
      <w:spacing w:after="0"/>
    </w:pPr>
    <w:rPr>
      <w:rFonts w:ascii="Helvetica" w:eastAsia="Times New Roman" w:hAnsi="Helvetica" w:cs="Times New Roman"/>
      <w:color w:val="000000"/>
      <w:sz w:val="16"/>
      <w:szCs w:val="16"/>
    </w:rPr>
  </w:style>
  <w:style w:type="character" w:customStyle="1" w:styleId="s1">
    <w:name w:val="s1"/>
    <w:basedOn w:val="DefaultParagraphFont"/>
    <w:rsid w:val="001865C2"/>
    <w:rPr>
      <w:rFonts w:ascii="Helvetica" w:hAnsi="Helvetica" w:hint="default"/>
      <w:sz w:val="16"/>
      <w:szCs w:val="16"/>
    </w:rPr>
  </w:style>
  <w:style w:type="character" w:customStyle="1" w:styleId="s2">
    <w:name w:val="s2"/>
    <w:basedOn w:val="DefaultParagraphFont"/>
    <w:rsid w:val="001865C2"/>
    <w:rPr>
      <w:rFonts w:ascii="Helvetica" w:hAnsi="Helvetica" w:hint="default"/>
      <w:sz w:val="16"/>
      <w:szCs w:val="16"/>
    </w:rPr>
  </w:style>
  <w:style w:type="character" w:customStyle="1" w:styleId="s3">
    <w:name w:val="s3"/>
    <w:basedOn w:val="DefaultParagraphFont"/>
    <w:rsid w:val="001865C2"/>
    <w:rPr>
      <w:rFonts w:ascii="Helvetica" w:hAnsi="Helvetica" w:hint="default"/>
      <w:sz w:val="16"/>
      <w:szCs w:val="16"/>
    </w:rPr>
  </w:style>
  <w:style w:type="character" w:customStyle="1" w:styleId="s4">
    <w:name w:val="s4"/>
    <w:basedOn w:val="DefaultParagraphFont"/>
    <w:rsid w:val="001865C2"/>
    <w:rPr>
      <w:rFonts w:ascii="Helvetica" w:hAnsi="Helvetica" w:hint="default"/>
      <w:sz w:val="15"/>
      <w:szCs w:val="15"/>
    </w:rPr>
  </w:style>
  <w:style w:type="character" w:customStyle="1" w:styleId="s5">
    <w:name w:val="s5"/>
    <w:basedOn w:val="DefaultParagraphFont"/>
    <w:rsid w:val="001865C2"/>
    <w:rPr>
      <w:rFonts w:ascii="Helvetica" w:hAnsi="Helvetica" w:hint="default"/>
      <w:sz w:val="13"/>
      <w:szCs w:val="13"/>
    </w:rPr>
  </w:style>
  <w:style w:type="character" w:styleId="FollowedHyperlink">
    <w:name w:val="FollowedHyperlink"/>
    <w:basedOn w:val="DefaultParagraphFont"/>
    <w:rsid w:val="00B01B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rim.kaylan@uchicagomedicin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3872</Words>
  <Characters>22076</Characters>
  <Application>Microsoft Office Word</Application>
  <DocSecurity>0</DocSecurity>
  <Lines>183</Lines>
  <Paragraphs>51</Paragraphs>
  <ScaleCrop>false</ScaleCrop>
  <Company/>
  <LinksUpToDate>false</LinksUpToDate>
  <CharactersWithSpaces>25897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Kerim Kaylan</cp:lastModifiedBy>
  <cp:revision>173</cp:revision>
  <dcterms:created xsi:type="dcterms:W3CDTF">2025-09-11T18:51:00Z</dcterms:created>
  <dcterms:modified xsi:type="dcterms:W3CDTF">2025-09-14T17:24:00Z</dcterms:modified>
</cp:coreProperties>
</file>