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E7B19" w14:textId="77777777" w:rsidR="00CD5F12" w:rsidRPr="00014E17" w:rsidRDefault="00000000">
      <w:pPr>
        <w:spacing w:after="80"/>
        <w:jc w:val="center"/>
        <w:rPr>
          <w:lang w:val="en-US"/>
        </w:rPr>
      </w:pPr>
      <w:r w:rsidRPr="00014E17">
        <w:rPr>
          <w:b/>
          <w:bCs/>
          <w:color w:val="1A237E"/>
          <w:sz w:val="48"/>
          <w:szCs w:val="48"/>
          <w:lang w:val="en-US"/>
        </w:rPr>
        <w:t xml:space="preserve">MI300A </w:t>
      </w:r>
      <w:proofErr w:type="spellStart"/>
      <w:r w:rsidRPr="00014E17">
        <w:rPr>
          <w:b/>
          <w:bCs/>
          <w:color w:val="1A237E"/>
          <w:sz w:val="48"/>
          <w:szCs w:val="48"/>
          <w:lang w:val="en-US"/>
        </w:rPr>
        <w:t>BabelStream</w:t>
      </w:r>
      <w:proofErr w:type="spellEnd"/>
      <w:r w:rsidRPr="00014E17">
        <w:rPr>
          <w:b/>
          <w:bCs/>
          <w:color w:val="1A237E"/>
          <w:sz w:val="48"/>
          <w:szCs w:val="48"/>
          <w:lang w:val="en-US"/>
        </w:rPr>
        <w:t xml:space="preserve"> HBM Bandwidth</w:t>
      </w:r>
    </w:p>
    <w:p w14:paraId="0615381D" w14:textId="77777777" w:rsidR="00CD5F12" w:rsidRPr="00014E17" w:rsidRDefault="00000000">
      <w:pPr>
        <w:spacing w:after="40"/>
        <w:jc w:val="center"/>
        <w:rPr>
          <w:lang w:val="en-US"/>
        </w:rPr>
      </w:pPr>
      <w:r w:rsidRPr="00014E17">
        <w:rPr>
          <w:color w:val="37474F"/>
          <w:sz w:val="36"/>
          <w:szCs w:val="36"/>
          <w:lang w:val="en-US"/>
        </w:rPr>
        <w:t>CPX vs TPX vs SPX Partition Modes</w:t>
      </w:r>
    </w:p>
    <w:p w14:paraId="771675B1" w14:textId="77777777" w:rsidR="00CD5F12" w:rsidRPr="00014E17" w:rsidRDefault="00000000">
      <w:pPr>
        <w:spacing w:after="400"/>
        <w:jc w:val="center"/>
        <w:rPr>
          <w:lang w:val="en-US"/>
        </w:rPr>
      </w:pPr>
      <w:r w:rsidRPr="00014E17">
        <w:rPr>
          <w:color w:val="666666"/>
          <w:lang w:val="en-US"/>
        </w:rPr>
        <w:t>HLRS — High Performance Computing Center Stuttgart</w:t>
      </w:r>
    </w:p>
    <w:p w14:paraId="33ADFA3E" w14:textId="77777777" w:rsidR="00CD5F12" w:rsidRPr="00014E17" w:rsidRDefault="00000000">
      <w:pPr>
        <w:spacing w:after="100"/>
        <w:jc w:val="center"/>
        <w:rPr>
          <w:lang w:val="en-US"/>
        </w:rPr>
      </w:pPr>
      <w:proofErr w:type="spellStart"/>
      <w:r w:rsidRPr="00014E17">
        <w:rPr>
          <w:color w:val="888888"/>
          <w:sz w:val="20"/>
          <w:szCs w:val="20"/>
          <w:lang w:val="en-US"/>
        </w:rPr>
        <w:t>BabelStream</w:t>
      </w:r>
      <w:proofErr w:type="spellEnd"/>
      <w:r w:rsidRPr="00014E17">
        <w:rPr>
          <w:color w:val="888888"/>
          <w:sz w:val="20"/>
          <w:szCs w:val="20"/>
          <w:lang w:val="en-US"/>
        </w:rPr>
        <w:t xml:space="preserve"> benchmark · double-precision · </w:t>
      </w:r>
      <w:proofErr w:type="spellStart"/>
      <w:r w:rsidRPr="00014E17">
        <w:rPr>
          <w:color w:val="888888"/>
          <w:sz w:val="20"/>
          <w:szCs w:val="20"/>
          <w:lang w:val="en-US"/>
        </w:rPr>
        <w:t>arraysize</w:t>
      </w:r>
      <w:proofErr w:type="spellEnd"/>
      <w:r w:rsidRPr="00014E17">
        <w:rPr>
          <w:color w:val="888888"/>
          <w:sz w:val="20"/>
          <w:szCs w:val="20"/>
          <w:lang w:val="en-US"/>
        </w:rPr>
        <w:t xml:space="preserve">=2²⁸ · </w:t>
      </w:r>
      <w:proofErr w:type="spellStart"/>
      <w:r w:rsidRPr="00014E17">
        <w:rPr>
          <w:color w:val="888888"/>
          <w:sz w:val="20"/>
          <w:szCs w:val="20"/>
          <w:lang w:val="en-US"/>
        </w:rPr>
        <w:t>numtimes</w:t>
      </w:r>
      <w:proofErr w:type="spellEnd"/>
      <w:r w:rsidRPr="00014E17">
        <w:rPr>
          <w:color w:val="888888"/>
          <w:sz w:val="20"/>
          <w:szCs w:val="20"/>
          <w:lang w:val="en-US"/>
        </w:rPr>
        <w:t>=1500</w:t>
      </w:r>
    </w:p>
    <w:p w14:paraId="3465E894" w14:textId="77777777" w:rsidR="00CD5F12" w:rsidRPr="00014E17" w:rsidRDefault="00000000">
      <w:pPr>
        <w:spacing w:after="400"/>
        <w:jc w:val="center"/>
        <w:rPr>
          <w:lang w:val="en-US"/>
        </w:rPr>
      </w:pPr>
      <w:r w:rsidRPr="00014E17">
        <w:rPr>
          <w:color w:val="888888"/>
          <w:sz w:val="20"/>
          <w:szCs w:val="20"/>
          <w:lang w:val="en-US"/>
        </w:rPr>
        <w:t>Theoretical peak: 5.3 TB/s per APU · 21.2 TB/s per node</w:t>
      </w:r>
    </w:p>
    <w:p w14:paraId="44983741" w14:textId="77777777" w:rsidR="00CD5F12" w:rsidRPr="00014E17" w:rsidRDefault="00000000">
      <w:pPr>
        <w:pStyle w:val="berschrift1"/>
        <w:rPr>
          <w:lang w:val="en-US"/>
        </w:rPr>
      </w:pPr>
      <w:r w:rsidRPr="00014E17">
        <w:rPr>
          <w:lang w:val="en-US"/>
        </w:rPr>
        <w:t>Executive Summary</w:t>
      </w:r>
    </w:p>
    <w:p w14:paraId="1E8C8904" w14:textId="77777777" w:rsidR="00CD5F12" w:rsidRPr="00014E17" w:rsidRDefault="00000000">
      <w:pPr>
        <w:spacing w:after="120"/>
        <w:rPr>
          <w:lang w:val="en-US"/>
        </w:rPr>
      </w:pPr>
      <w:r w:rsidRPr="00014E17">
        <w:rPr>
          <w:lang w:val="en-US"/>
        </w:rPr>
        <w:t xml:space="preserve">This report presents a systematic HBM bandwidth characterization of the AMD MI300A APU in CPX (6×1-XCD), TPX (3×2-XCD), and SPX (1×6-XCD) partition modes using the </w:t>
      </w:r>
      <w:proofErr w:type="spellStart"/>
      <w:r w:rsidRPr="00014E17">
        <w:rPr>
          <w:lang w:val="en-US"/>
        </w:rPr>
        <w:t>BabelStream</w:t>
      </w:r>
      <w:proofErr w:type="spellEnd"/>
      <w:r w:rsidRPr="00014E17">
        <w:rPr>
          <w:lang w:val="en-US"/>
        </w:rPr>
        <w:t xml:space="preserve"> benchmark. The MI300A node comprises 4 APUs, each with 6 XCDs sharing a common HBM memory subsystem with a theoretical peak bandwidth of 5.3 TB/s per APU (21.2 TB/s per node).</w:t>
      </w:r>
    </w:p>
    <w:p w14:paraId="10710E1C" w14:textId="77777777" w:rsidR="00CD5F12" w:rsidRPr="00014E17" w:rsidRDefault="00000000">
      <w:pPr>
        <w:spacing w:after="120"/>
        <w:rPr>
          <w:lang w:val="en-US"/>
        </w:rPr>
      </w:pPr>
      <w:r w:rsidRPr="00014E17">
        <w:rPr>
          <w:lang w:val="en-US"/>
        </w:rPr>
        <w:t>The experiments progress from isolated single-XCD baselines through incremental contention studies to full-node saturation across all three partition modes. The central finding is that TPX mode achieves the highest aggregate node bandwidth at 16.7 TB/s Triad (79% of theoretical peak), followed closely by CPX at 16.4 TB/s (77%), while SPX significantly trails at 14.6 TB/s (69%). The Dot product reduction operation amplifies these differences further, with TPX at 71% of peak versus CPX at 62% and SPX at only 51%.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1400"/>
        <w:gridCol w:w="1200"/>
        <w:gridCol w:w="1400"/>
        <w:gridCol w:w="1200"/>
        <w:gridCol w:w="1160"/>
      </w:tblGrid>
      <w:tr w:rsidR="00CD5F12" w14:paraId="5F8413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70FBA" w14:textId="77777777" w:rsidR="00CD5F1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33E51" w14:textId="77777777" w:rsidR="00CD5F1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Layout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A8AE8" w14:textId="77777777" w:rsidR="00CD5F1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Triad (TB/s)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FCC2F" w14:textId="77777777" w:rsidR="00CD5F1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of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Peak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9021D" w14:textId="77777777" w:rsidR="00CD5F1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(TB/s)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2E09D" w14:textId="77777777" w:rsidR="00CD5F1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of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Peak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FA4DA" w14:textId="77777777" w:rsidR="00CD5F1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Devices</w:t>
            </w:r>
          </w:p>
        </w:tc>
      </w:tr>
      <w:tr w:rsidR="00CD5F12" w14:paraId="1D27C85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9A9A3" w14:textId="77777777" w:rsidR="00CD5F12" w:rsidRDefault="00000000">
            <w:pPr>
              <w:jc w:val="center"/>
            </w:pPr>
            <w:r>
              <w:rPr>
                <w:sz w:val="20"/>
                <w:szCs w:val="20"/>
              </w:rPr>
              <w:t>CPX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DD423" w14:textId="77777777" w:rsidR="00CD5F12" w:rsidRDefault="00000000">
            <w:pPr>
              <w:jc w:val="center"/>
            </w:pPr>
            <w:r>
              <w:rPr>
                <w:sz w:val="20"/>
                <w:szCs w:val="20"/>
              </w:rPr>
              <w:t>24 × 1 XCD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04191" w14:textId="77777777" w:rsidR="00CD5F12" w:rsidRDefault="00000000">
            <w:pPr>
              <w:jc w:val="center"/>
            </w:pPr>
            <w:r>
              <w:rPr>
                <w:sz w:val="20"/>
                <w:szCs w:val="20"/>
              </w:rPr>
              <w:t>16.4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0455F" w14:textId="77777777" w:rsidR="00CD5F12" w:rsidRDefault="00000000">
            <w:pPr>
              <w:jc w:val="center"/>
            </w:pPr>
            <w:r>
              <w:rPr>
                <w:sz w:val="20"/>
                <w:szCs w:val="20"/>
              </w:rPr>
              <w:t>77%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2245A" w14:textId="77777777" w:rsidR="00CD5F12" w:rsidRDefault="00000000">
            <w:pPr>
              <w:jc w:val="center"/>
            </w:pPr>
            <w:r>
              <w:rPr>
                <w:sz w:val="20"/>
                <w:szCs w:val="20"/>
              </w:rPr>
              <w:t>13.2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97E8A" w14:textId="77777777" w:rsidR="00CD5F12" w:rsidRDefault="00000000">
            <w:pPr>
              <w:jc w:val="center"/>
            </w:pPr>
            <w:r>
              <w:rPr>
                <w:sz w:val="20"/>
                <w:szCs w:val="20"/>
              </w:rPr>
              <w:t>62%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858E9" w14:textId="77777777" w:rsidR="00CD5F12" w:rsidRDefault="00000000">
            <w:pPr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</w:tr>
      <w:tr w:rsidR="00CD5F12" w14:paraId="18D8D94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CDE5D" w14:textId="77777777" w:rsidR="00CD5F12" w:rsidRDefault="00000000">
            <w:pPr>
              <w:jc w:val="center"/>
            </w:pPr>
            <w:r>
              <w:rPr>
                <w:sz w:val="20"/>
                <w:szCs w:val="20"/>
              </w:rPr>
              <w:t>TPX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B50D5" w14:textId="77777777" w:rsidR="00CD5F12" w:rsidRDefault="00000000">
            <w:pPr>
              <w:jc w:val="center"/>
            </w:pPr>
            <w:r>
              <w:rPr>
                <w:sz w:val="20"/>
                <w:szCs w:val="20"/>
              </w:rPr>
              <w:t>12 × 2 XCD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8B3F4" w14:textId="77777777" w:rsidR="00CD5F12" w:rsidRDefault="00000000">
            <w:pPr>
              <w:jc w:val="center"/>
            </w:pPr>
            <w:r>
              <w:rPr>
                <w:sz w:val="20"/>
                <w:szCs w:val="20"/>
              </w:rPr>
              <w:t>16.7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C506F" w14:textId="77777777" w:rsidR="00CD5F12" w:rsidRDefault="00000000">
            <w:pPr>
              <w:jc w:val="center"/>
            </w:pPr>
            <w:r>
              <w:rPr>
                <w:sz w:val="20"/>
                <w:szCs w:val="20"/>
              </w:rPr>
              <w:t>79%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6A663" w14:textId="77777777" w:rsidR="00CD5F12" w:rsidRDefault="00000000">
            <w:pPr>
              <w:jc w:val="center"/>
            </w:pPr>
            <w:r>
              <w:rPr>
                <w:sz w:val="20"/>
                <w:szCs w:val="20"/>
              </w:rPr>
              <w:t>15.1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A0BBE" w14:textId="77777777" w:rsidR="00CD5F12" w:rsidRDefault="00000000">
            <w:pPr>
              <w:jc w:val="center"/>
            </w:pPr>
            <w:r>
              <w:rPr>
                <w:sz w:val="20"/>
                <w:szCs w:val="20"/>
              </w:rPr>
              <w:t>71%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14173" w14:textId="77777777" w:rsidR="00CD5F12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</w:tr>
      <w:tr w:rsidR="00CD5F12" w14:paraId="3B38796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46656" w14:textId="77777777" w:rsidR="00CD5F12" w:rsidRDefault="00000000">
            <w:pPr>
              <w:jc w:val="center"/>
            </w:pPr>
            <w:r>
              <w:rPr>
                <w:sz w:val="20"/>
                <w:szCs w:val="20"/>
              </w:rPr>
              <w:t>SPX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6E082" w14:textId="77777777" w:rsidR="00CD5F12" w:rsidRDefault="00000000">
            <w:pPr>
              <w:jc w:val="center"/>
            </w:pPr>
            <w:r>
              <w:rPr>
                <w:sz w:val="20"/>
                <w:szCs w:val="20"/>
              </w:rPr>
              <w:t>4 × 6 XCD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FD150" w14:textId="77777777" w:rsidR="00CD5F12" w:rsidRDefault="00000000">
            <w:pPr>
              <w:jc w:val="center"/>
            </w:pPr>
            <w:r>
              <w:rPr>
                <w:sz w:val="20"/>
                <w:szCs w:val="20"/>
              </w:rPr>
              <w:t>14.6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DCE17" w14:textId="77777777" w:rsidR="00CD5F12" w:rsidRDefault="00000000">
            <w:pPr>
              <w:jc w:val="center"/>
            </w:pPr>
            <w:r>
              <w:rPr>
                <w:sz w:val="20"/>
                <w:szCs w:val="20"/>
              </w:rPr>
              <w:t>69%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83500" w14:textId="77777777" w:rsidR="00CD5F12" w:rsidRDefault="00000000">
            <w:pPr>
              <w:jc w:val="center"/>
            </w:pPr>
            <w:r>
              <w:rPr>
                <w:sz w:val="20"/>
                <w:szCs w:val="20"/>
              </w:rPr>
              <w:t>10.7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6295F" w14:textId="77777777" w:rsidR="00CD5F12" w:rsidRDefault="00000000">
            <w:pPr>
              <w:jc w:val="center"/>
            </w:pPr>
            <w:r>
              <w:rPr>
                <w:sz w:val="20"/>
                <w:szCs w:val="20"/>
              </w:rPr>
              <w:t>51%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E22C4" w14:textId="77777777" w:rsidR="00CD5F1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</w:tbl>
    <w:p w14:paraId="0096CAE7" w14:textId="77777777" w:rsidR="00CD5F12" w:rsidRPr="00014E17" w:rsidRDefault="00000000">
      <w:pPr>
        <w:spacing w:before="40" w:after="200"/>
        <w:jc w:val="center"/>
        <w:rPr>
          <w:lang w:val="en-US"/>
        </w:rPr>
      </w:pPr>
      <w:r w:rsidRPr="00014E17">
        <w:rPr>
          <w:i/>
          <w:iCs/>
          <w:color w:val="555555"/>
          <w:sz w:val="18"/>
          <w:szCs w:val="18"/>
          <w:lang w:val="en-US"/>
        </w:rPr>
        <w:t>Table 1: Full-node aggregate bandwidth by partition mode. TPX row highlighted as best performer.</w:t>
      </w:r>
    </w:p>
    <w:p w14:paraId="33F2A8E8" w14:textId="77777777" w:rsidR="00CD5F12" w:rsidRPr="00014E17" w:rsidRDefault="00000000">
      <w:pPr>
        <w:rPr>
          <w:lang w:val="en-US"/>
        </w:rPr>
      </w:pPr>
      <w:r w:rsidRPr="00014E17">
        <w:rPr>
          <w:lang w:val="en-US"/>
        </w:rPr>
        <w:br w:type="page"/>
      </w:r>
    </w:p>
    <w:p w14:paraId="7F468D77" w14:textId="77777777" w:rsidR="00CD5F12" w:rsidRPr="00014E17" w:rsidRDefault="00000000">
      <w:pPr>
        <w:pStyle w:val="berschrift1"/>
        <w:rPr>
          <w:lang w:val="en-US"/>
        </w:rPr>
      </w:pPr>
      <w:r w:rsidRPr="00014E17">
        <w:rPr>
          <w:lang w:val="en-US"/>
        </w:rPr>
        <w:lastRenderedPageBreak/>
        <w:t>1. Isolated Baseline: 1 XCD per APU Shows Zero Contention</w:t>
      </w:r>
    </w:p>
    <w:p w14:paraId="50AE1AFC" w14:textId="77777777" w:rsidR="00CD5F12" w:rsidRPr="00014E17" w:rsidRDefault="00000000">
      <w:pPr>
        <w:spacing w:after="120"/>
        <w:rPr>
          <w:lang w:val="en-US"/>
        </w:rPr>
      </w:pPr>
      <w:r w:rsidRPr="00014E17">
        <w:rPr>
          <w:lang w:val="en-US"/>
        </w:rPr>
        <w:t xml:space="preserve">The first experiment establishes a contention-free baseline by running </w:t>
      </w:r>
      <w:proofErr w:type="spellStart"/>
      <w:r w:rsidRPr="00014E17">
        <w:rPr>
          <w:lang w:val="en-US"/>
        </w:rPr>
        <w:t>BabelStream</w:t>
      </w:r>
      <w:proofErr w:type="spellEnd"/>
      <w:r w:rsidRPr="00014E17">
        <w:rPr>
          <w:lang w:val="en-US"/>
        </w:rPr>
        <w:t xml:space="preserve"> on a single XCD per APU (devices 0, 6, 12, 18). This configuration eliminates any intra-APU bandwidth contention.</w:t>
      </w:r>
    </w:p>
    <w:p w14:paraId="424E0472" w14:textId="4874FA6F" w:rsidR="00CD5F12" w:rsidRPr="00014E17" w:rsidRDefault="00000000">
      <w:pPr>
        <w:spacing w:after="120"/>
        <w:rPr>
          <w:lang w:val="en-US"/>
        </w:rPr>
      </w:pPr>
      <w:r w:rsidRPr="00014E17">
        <w:rPr>
          <w:lang w:val="en-US"/>
        </w:rPr>
        <w:t xml:space="preserve">Results are remarkably uniform: cross-APU spread is less than 0.04% on all operations. Every XCD achieves approximately 711 </w:t>
      </w:r>
      <w:r w:rsidR="00014E17">
        <w:rPr>
          <w:lang w:val="en-US"/>
        </w:rPr>
        <w:t>G</w:t>
      </w:r>
      <w:r w:rsidRPr="00014E17">
        <w:rPr>
          <w:lang w:val="en-US"/>
        </w:rPr>
        <w:t xml:space="preserve">B/s on Copy/Mul, 715 </w:t>
      </w:r>
      <w:r w:rsidR="00014E17">
        <w:rPr>
          <w:lang w:val="en-US"/>
        </w:rPr>
        <w:t>G</w:t>
      </w:r>
      <w:r w:rsidRPr="00014E17">
        <w:rPr>
          <w:lang w:val="en-US"/>
        </w:rPr>
        <w:t xml:space="preserve">B/s on Add/Triad, and 704 </w:t>
      </w:r>
      <w:r w:rsidR="00014E17">
        <w:rPr>
          <w:lang w:val="en-US"/>
        </w:rPr>
        <w:t>G</w:t>
      </w:r>
      <w:r w:rsidRPr="00014E17">
        <w:rPr>
          <w:lang w:val="en-US"/>
        </w:rPr>
        <w:t>B/s on Dot. This confirms that each APU’s HBM subsystem delivers identical per-XCD bandwidth when uncontested, establishing the performance ceiling for subsequent experiments.</w:t>
      </w:r>
    </w:p>
    <w:p w14:paraId="460D6D85" w14:textId="77777777" w:rsidR="00CD5F12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4412942B" wp14:editId="17CB195A">
            <wp:extent cx="5524500" cy="2095500"/>
            <wp:effectExtent l="0" t="0" r="0" b="0"/>
            <wp:docPr id="1" name="/home/claude/cpx_1xcd_per_apu.png" descr="/home/claude/cpx_1xcd_per_apu.png" title="/home/claude/cpx_1xcd_per_ap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F5492" w14:textId="77777777" w:rsidR="00CD5F12" w:rsidRPr="00014E17" w:rsidRDefault="00000000">
      <w:pPr>
        <w:spacing w:after="240"/>
        <w:jc w:val="center"/>
        <w:rPr>
          <w:lang w:val="en-US"/>
        </w:rPr>
      </w:pPr>
      <w:r w:rsidRPr="00014E17">
        <w:rPr>
          <w:i/>
          <w:iCs/>
          <w:color w:val="555555"/>
          <w:sz w:val="20"/>
          <w:szCs w:val="20"/>
          <w:lang w:val="en-US"/>
        </w:rPr>
        <w:t>Figure 1: 1 XCD per APU — virtually zero cross-APU variation.</w:t>
      </w:r>
    </w:p>
    <w:p w14:paraId="0ECC22EF" w14:textId="77777777" w:rsidR="00CD5F12" w:rsidRPr="00014E17" w:rsidRDefault="00000000">
      <w:pPr>
        <w:pStyle w:val="berschrift1"/>
        <w:rPr>
          <w:lang w:val="en-US"/>
        </w:rPr>
      </w:pPr>
      <w:r w:rsidRPr="00014E17">
        <w:rPr>
          <w:lang w:val="en-US"/>
        </w:rPr>
        <w:t>2. Intra-APU Contention: 6 XCDs on a Single APU</w:t>
      </w:r>
    </w:p>
    <w:p w14:paraId="4864DFA6" w14:textId="77777777" w:rsidR="00CD5F12" w:rsidRPr="00014E17" w:rsidRDefault="00000000">
      <w:pPr>
        <w:spacing w:after="120"/>
        <w:rPr>
          <w:lang w:val="en-US"/>
        </w:rPr>
      </w:pPr>
      <w:r w:rsidRPr="00014E17">
        <w:rPr>
          <w:lang w:val="en-US"/>
        </w:rPr>
        <w:t>Running all 6 XCDs on APU 0 reveals which devices suffer under contention. Devices 0, 1, 3, and 5 maintain near-baseline bandwidth (approximately 100% efficiency), while devices 2 and 4 consistently drop to around 95% on streaming operations and approximately 80% on the Dot product. This asymmetry is hardware-level and reproducible: the same device pairs underperform regardless of run ordering.</w:t>
      </w:r>
    </w:p>
    <w:p w14:paraId="60E4BF51" w14:textId="77777777" w:rsidR="00CD5F12" w:rsidRPr="00014E17" w:rsidRDefault="00000000">
      <w:pPr>
        <w:spacing w:after="120"/>
        <w:rPr>
          <w:lang w:val="en-US"/>
        </w:rPr>
      </w:pPr>
      <w:r w:rsidRPr="00014E17">
        <w:rPr>
          <w:lang w:val="en-US"/>
        </w:rPr>
        <w:t>The cumulative APU 0 bandwidth reaches 4.19–4.20 TB/s on Triad, meaning the strong devices compensate for the weak ones. However, the device-level variance foreshadows the full-node contention patterns observed later.</w:t>
      </w:r>
    </w:p>
    <w:p w14:paraId="428C625D" w14:textId="77777777" w:rsidR="00CD5F12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65986277" wp14:editId="22066818">
            <wp:extent cx="5524500" cy="1905000"/>
            <wp:effectExtent l="0" t="0" r="0" b="0"/>
            <wp:docPr id="2" name="/home/claude/cpx_1apu_6xcd.png" descr="/home/claude/cpx_1apu_6xcd.png" title="/home/claude/cpx_1apu_6xc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65EC2" w14:textId="77777777" w:rsidR="00CD5F12" w:rsidRPr="00014E17" w:rsidRDefault="00000000">
      <w:pPr>
        <w:spacing w:after="240"/>
        <w:jc w:val="center"/>
        <w:rPr>
          <w:lang w:val="en-US"/>
        </w:rPr>
      </w:pPr>
      <w:r w:rsidRPr="00014E17">
        <w:rPr>
          <w:i/>
          <w:iCs/>
          <w:color w:val="555555"/>
          <w:sz w:val="20"/>
          <w:szCs w:val="20"/>
          <w:lang w:val="en-US"/>
        </w:rPr>
        <w:t>Figure 2: 6 XCDs on APU 0 — devices 2 and 4 show consistent degradation.</w:t>
      </w:r>
    </w:p>
    <w:p w14:paraId="6F8DEB33" w14:textId="77777777" w:rsidR="00CD5F12" w:rsidRPr="00014E17" w:rsidRDefault="00000000">
      <w:pPr>
        <w:pStyle w:val="berschrift1"/>
        <w:rPr>
          <w:lang w:val="en-US"/>
        </w:rPr>
      </w:pPr>
      <w:r w:rsidRPr="00014E17">
        <w:rPr>
          <w:lang w:val="en-US"/>
        </w:rPr>
        <w:t>3. Larger Arrays Amplify Contention</w:t>
      </w:r>
    </w:p>
    <w:p w14:paraId="3285029B" w14:textId="77777777" w:rsidR="00CD5F12" w:rsidRPr="00014E17" w:rsidRDefault="00000000">
      <w:pPr>
        <w:spacing w:after="120"/>
        <w:rPr>
          <w:lang w:val="en-US"/>
        </w:rPr>
      </w:pPr>
      <w:r w:rsidRPr="00014E17">
        <w:rPr>
          <w:lang w:val="en-US"/>
        </w:rPr>
        <w:t>Doubling the array size from 2²⁸ to 2²⁹ worsens the contention picture significantly. The already-weak devices 2 and 4 degrade further (from 95% to 89% on Copy), and previously strong devices 1 and 5 also begin to suffer (device 1 drops from approximately 100% to 88% on Copy). Devices 0 and 3 remain rock-solid at approximately 100% efficiency in both configurations.</w:t>
      </w:r>
    </w:p>
    <w:p w14:paraId="33C1D08C" w14:textId="77777777" w:rsidR="00CD5F12" w:rsidRPr="00014E17" w:rsidRDefault="00000000">
      <w:pPr>
        <w:spacing w:after="120"/>
        <w:rPr>
          <w:lang w:val="en-US"/>
        </w:rPr>
      </w:pPr>
      <w:r w:rsidRPr="00014E17">
        <w:rPr>
          <w:lang w:val="en-US"/>
        </w:rPr>
        <w:t>Despite wider per-device variance, the aggregate Triad only drops from 4.20 to 4.16 TB/s (approximately 1%) because the strong devices compensate. The Dot product gap, however, widens considerably. This demonstrates that larger memory footprints increase HBM controller contention pressure.</w:t>
      </w:r>
    </w:p>
    <w:p w14:paraId="2D6A5557" w14:textId="77777777" w:rsidR="00CD5F12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6AD413AB" wp14:editId="650374BD">
            <wp:extent cx="5524500" cy="3429000"/>
            <wp:effectExtent l="0" t="0" r="0" b="0"/>
            <wp:docPr id="3" name="/home/claude/cpx_1apu_28vs29.png" descr="/home/claude/cpx_1apu_28vs29.png" title="/home/claude/cpx_1apu_28vs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8B336" w14:textId="77777777" w:rsidR="00CD5F12" w:rsidRPr="00014E17" w:rsidRDefault="00000000">
      <w:pPr>
        <w:spacing w:after="240"/>
        <w:jc w:val="center"/>
        <w:rPr>
          <w:lang w:val="en-US"/>
        </w:rPr>
      </w:pPr>
      <w:r w:rsidRPr="00014E17">
        <w:rPr>
          <w:i/>
          <w:iCs/>
          <w:color w:val="555555"/>
          <w:sz w:val="20"/>
          <w:szCs w:val="20"/>
          <w:lang w:val="en-US"/>
        </w:rPr>
        <w:t>Figure 3: Array size 2²⁸ vs 2²⁹ — larger arrays amplify device-level contention.</w:t>
      </w:r>
    </w:p>
    <w:p w14:paraId="5CDFF8D4" w14:textId="77777777" w:rsidR="00CD5F12" w:rsidRPr="00014E17" w:rsidRDefault="00000000">
      <w:pPr>
        <w:rPr>
          <w:lang w:val="en-US"/>
        </w:rPr>
      </w:pPr>
      <w:r w:rsidRPr="00014E17">
        <w:rPr>
          <w:lang w:val="en-US"/>
        </w:rPr>
        <w:br w:type="page"/>
      </w:r>
    </w:p>
    <w:p w14:paraId="1759D188" w14:textId="77777777" w:rsidR="00CD5F12" w:rsidRPr="00014E17" w:rsidRDefault="00000000">
      <w:pPr>
        <w:pStyle w:val="berschrift1"/>
        <w:rPr>
          <w:lang w:val="en-US"/>
        </w:rPr>
      </w:pPr>
      <w:r w:rsidRPr="00014E17">
        <w:rPr>
          <w:lang w:val="en-US"/>
        </w:rPr>
        <w:lastRenderedPageBreak/>
        <w:t>4. Emulated TPX: 2 XCDs per APU Eliminates Contention</w:t>
      </w:r>
    </w:p>
    <w:p w14:paraId="6BC81330" w14:textId="77777777" w:rsidR="00CD5F12" w:rsidRPr="00014E17" w:rsidRDefault="00000000">
      <w:pPr>
        <w:spacing w:after="120"/>
        <w:rPr>
          <w:lang w:val="en-US"/>
        </w:rPr>
      </w:pPr>
      <w:r w:rsidRPr="00014E17">
        <w:rPr>
          <w:lang w:val="en-US"/>
        </w:rPr>
        <w:t>Running only 2 XCDs per APU (emulating the first TPX partition of each APU within CPX mode) produces results as clean as the single-XCD baseline. Cross-device spread remains below 0.05% on all streaming operations and 0.26% on Dot. Every device hits the isolated baseline within measurement noise.</w:t>
      </w:r>
    </w:p>
    <w:p w14:paraId="75950EE5" w14:textId="77777777" w:rsidR="00CD5F12" w:rsidRPr="00014E17" w:rsidRDefault="00000000">
      <w:pPr>
        <w:spacing w:after="120"/>
        <w:rPr>
          <w:lang w:val="en-US"/>
        </w:rPr>
      </w:pPr>
      <w:r w:rsidRPr="00014E17">
        <w:rPr>
          <w:lang w:val="en-US"/>
        </w:rPr>
        <w:t>This critical finding demonstrates that the HBM controller handles 2 concurrent XCD streams without any measurable degradation. The contention only manifests when going beyond 2 XCDs per APU, which explains why TPX mode (with its 2-XCD devices) performs so well at full node utilization.</w:t>
      </w:r>
    </w:p>
    <w:p w14:paraId="72696E22" w14:textId="77777777" w:rsidR="00CD5F12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50A26CF9" wp14:editId="023B5F08">
            <wp:extent cx="5524500" cy="1905000"/>
            <wp:effectExtent l="0" t="0" r="0" b="0"/>
            <wp:docPr id="4" name="/home/claude/cpx_emulated_tpx.png" descr="/home/claude/cpx_emulated_tpx.png" title="/home/claude/cpx_emulated_tp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13CC" w14:textId="77777777" w:rsidR="00CD5F12" w:rsidRPr="00014E17" w:rsidRDefault="00000000">
      <w:pPr>
        <w:spacing w:after="240"/>
        <w:jc w:val="center"/>
        <w:rPr>
          <w:lang w:val="en-US"/>
        </w:rPr>
      </w:pPr>
      <w:r w:rsidRPr="00014E17">
        <w:rPr>
          <w:i/>
          <w:iCs/>
          <w:color w:val="555555"/>
          <w:sz w:val="20"/>
          <w:szCs w:val="20"/>
          <w:lang w:val="en-US"/>
        </w:rPr>
        <w:t>Figure 4: 2 XCDs per APU — no contention, all devices at baseline.</w:t>
      </w:r>
    </w:p>
    <w:p w14:paraId="5E0B6647" w14:textId="77777777" w:rsidR="00CD5F12" w:rsidRPr="00014E17" w:rsidRDefault="00000000">
      <w:pPr>
        <w:pStyle w:val="berschrift1"/>
        <w:rPr>
          <w:lang w:val="en-US"/>
        </w:rPr>
      </w:pPr>
      <w:r w:rsidRPr="00014E17">
        <w:rPr>
          <w:lang w:val="en-US"/>
        </w:rPr>
        <w:t>5. Real TPX vs Emulated: Slight Overhead from Fused Devices</w:t>
      </w:r>
    </w:p>
    <w:p w14:paraId="765FA495" w14:textId="77777777" w:rsidR="00CD5F12" w:rsidRPr="00014E17" w:rsidRDefault="00000000">
      <w:pPr>
        <w:spacing w:after="120"/>
        <w:rPr>
          <w:lang w:val="en-US"/>
        </w:rPr>
      </w:pPr>
      <w:r w:rsidRPr="00014E17">
        <w:rPr>
          <w:lang w:val="en-US"/>
        </w:rPr>
        <w:t>Comparing real TPX mode (1 device with 2 XCDs) against emulated TPX in CPX mode (2 separate 1-XCD devices) reveals that real TPX is approximately 0.3% slower on streaming operations and approximately 2.5–3% slower on the Dot product. The two independent CPX processes slightly outperform the single TPX process because each runs its own reduction independently, avoiding cross-XCD coordination overhead within a fused device.</w:t>
      </w:r>
    </w:p>
    <w:p w14:paraId="4E39CC75" w14:textId="77777777" w:rsidR="00CD5F12" w:rsidRPr="00014E17" w:rsidRDefault="00000000">
      <w:pPr>
        <w:spacing w:after="120"/>
        <w:rPr>
          <w:lang w:val="en-US"/>
        </w:rPr>
      </w:pPr>
      <w:r w:rsidRPr="00014E17">
        <w:rPr>
          <w:lang w:val="en-US"/>
        </w:rPr>
        <w:t>For embarrassingly parallel streaming workloads, CPX’s process-level parallelism provides a marginal edge over TPX’s unified device model. However, this difference is small enough that it is negligible for most practical applications.</w:t>
      </w:r>
    </w:p>
    <w:p w14:paraId="1A6586BD" w14:textId="77777777" w:rsidR="00CD5F12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3AB96FD4" wp14:editId="7703DB27">
            <wp:extent cx="5524500" cy="1905000"/>
            <wp:effectExtent l="0" t="0" r="0" b="0"/>
            <wp:docPr id="5" name="/home/claude/cpx_vs_tpx.png" descr="/home/claude/cpx_vs_tpx.png" title="/home/claude/cpx_vs_tp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EB928" w14:textId="77777777" w:rsidR="00CD5F12" w:rsidRPr="00014E17" w:rsidRDefault="00000000">
      <w:pPr>
        <w:spacing w:after="240"/>
        <w:jc w:val="center"/>
        <w:rPr>
          <w:lang w:val="en-US"/>
        </w:rPr>
      </w:pPr>
      <w:r w:rsidRPr="00014E17">
        <w:rPr>
          <w:i/>
          <w:iCs/>
          <w:color w:val="555555"/>
          <w:sz w:val="20"/>
          <w:szCs w:val="20"/>
          <w:lang w:val="en-US"/>
        </w:rPr>
        <w:t>Figure 5: Real TPX is approximately 0.3% slower on streaming, approximately 3% on Dot vs emulated CPX.</w:t>
      </w:r>
    </w:p>
    <w:p w14:paraId="38420BB9" w14:textId="77777777" w:rsidR="00CD5F12" w:rsidRPr="00014E17" w:rsidRDefault="00000000">
      <w:pPr>
        <w:rPr>
          <w:lang w:val="en-US"/>
        </w:rPr>
      </w:pPr>
      <w:r w:rsidRPr="00014E17">
        <w:rPr>
          <w:lang w:val="en-US"/>
        </w:rPr>
        <w:br w:type="page"/>
      </w:r>
    </w:p>
    <w:p w14:paraId="58C88A07" w14:textId="77777777" w:rsidR="00CD5F12" w:rsidRPr="00014E17" w:rsidRDefault="00000000">
      <w:pPr>
        <w:pStyle w:val="berschrift1"/>
        <w:rPr>
          <w:lang w:val="en-US"/>
        </w:rPr>
      </w:pPr>
      <w:r w:rsidRPr="00014E17">
        <w:rPr>
          <w:lang w:val="en-US"/>
        </w:rPr>
        <w:lastRenderedPageBreak/>
        <w:t>6. Full-Node TPX: Consistent but with 3rd-Device Contention</w:t>
      </w:r>
    </w:p>
    <w:p w14:paraId="206415DF" w14:textId="77777777" w:rsidR="00CD5F12" w:rsidRPr="00014E17" w:rsidRDefault="00000000">
      <w:pPr>
        <w:spacing w:after="120"/>
        <w:rPr>
          <w:lang w:val="en-US"/>
        </w:rPr>
      </w:pPr>
      <w:r w:rsidRPr="00014E17">
        <w:rPr>
          <w:lang w:val="en-US"/>
        </w:rPr>
        <w:t>At full-node TPX utilization (12 devices, 3 per APU), the contention pattern mirrors CPX: the 3rd TPX device per APU faces the most bandwidth pressure. Devices like 5 (APU 1), 8, and 9 (APU 2) drop to 80–93% efficiency on streaming operations and as low as 77% on Dot. The stronger devices (those that happen to be the 1st or 2nd in each APU) maintain near-peak performance.</w:t>
      </w:r>
    </w:p>
    <w:p w14:paraId="3AA7D1FF" w14:textId="77777777" w:rsidR="00CD5F12" w:rsidRPr="00014E17" w:rsidRDefault="00000000">
      <w:pPr>
        <w:spacing w:after="120"/>
        <w:rPr>
          <w:lang w:val="en-US"/>
        </w:rPr>
      </w:pPr>
      <w:r w:rsidRPr="00014E17">
        <w:rPr>
          <w:lang w:val="en-US"/>
        </w:rPr>
        <w:t>Aggregate per-APU Triad bandwidth ranges from 4.10 to 4.19 TB/s (77–79% of the 5.3 TB/s theoretical peak). The Dot product shows the widest device-level spread, confirming that reduction operations are disproportionately affected by HBM contention.</w:t>
      </w:r>
    </w:p>
    <w:p w14:paraId="532FF023" w14:textId="77777777" w:rsidR="00CD5F12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69FB4E6B" wp14:editId="68FC4466">
            <wp:extent cx="5524500" cy="3619500"/>
            <wp:effectExtent l="0" t="0" r="0" b="0"/>
            <wp:docPr id="6" name="/home/claude/tpx_full_node.png" descr="/home/claude/tpx_full_node.png" title="/home/claude/tpx_full_n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C5A02" w14:textId="77777777" w:rsidR="00CD5F12" w:rsidRPr="00014E17" w:rsidRDefault="00000000">
      <w:pPr>
        <w:spacing w:after="240"/>
        <w:jc w:val="center"/>
        <w:rPr>
          <w:lang w:val="en-US"/>
        </w:rPr>
      </w:pPr>
      <w:r w:rsidRPr="00014E17">
        <w:rPr>
          <w:i/>
          <w:iCs/>
          <w:color w:val="555555"/>
          <w:sz w:val="20"/>
          <w:szCs w:val="20"/>
          <w:lang w:val="en-US"/>
        </w:rPr>
        <w:t>Figure 6: TPX full node — 3rd device per APU is the contention bottleneck.</w:t>
      </w:r>
    </w:p>
    <w:p w14:paraId="67B6031F" w14:textId="77777777" w:rsidR="00CD5F12" w:rsidRPr="00014E17" w:rsidRDefault="00000000">
      <w:pPr>
        <w:rPr>
          <w:lang w:val="en-US"/>
        </w:rPr>
      </w:pPr>
      <w:r w:rsidRPr="00014E17">
        <w:rPr>
          <w:lang w:val="en-US"/>
        </w:rPr>
        <w:br w:type="page"/>
      </w:r>
    </w:p>
    <w:p w14:paraId="4CA2BAF7" w14:textId="77777777" w:rsidR="00CD5F12" w:rsidRPr="00014E17" w:rsidRDefault="00000000">
      <w:pPr>
        <w:pStyle w:val="berschrift1"/>
        <w:rPr>
          <w:lang w:val="en-US"/>
        </w:rPr>
      </w:pPr>
      <w:r w:rsidRPr="00014E17">
        <w:rPr>
          <w:lang w:val="en-US"/>
        </w:rPr>
        <w:lastRenderedPageBreak/>
        <w:t>7. Full-Node SPX: Uniform but Inefficient</w:t>
      </w:r>
    </w:p>
    <w:p w14:paraId="19EB757E" w14:textId="77777777" w:rsidR="00CD5F12" w:rsidRPr="00014E17" w:rsidRDefault="00000000">
      <w:pPr>
        <w:spacing w:after="120"/>
        <w:rPr>
          <w:lang w:val="en-US"/>
        </w:rPr>
      </w:pPr>
      <w:r w:rsidRPr="00014E17">
        <w:rPr>
          <w:lang w:val="en-US"/>
        </w:rPr>
        <w:t>SPX mode (4 devices, 1 per APU, 6 XCDs each) delivers the most uniform results across APUs: all 4 devices land within 0.4% of each other on Triad at 3.64–3.65 TB/s. The inter-device contention variance that plagued CPX and TPX is eliminated because there is only one process per APU.</w:t>
      </w:r>
    </w:p>
    <w:p w14:paraId="79071B7E" w14:textId="77777777" w:rsidR="00CD5F12" w:rsidRPr="00014E17" w:rsidRDefault="00000000">
      <w:pPr>
        <w:spacing w:after="120"/>
        <w:rPr>
          <w:lang w:val="en-US"/>
        </w:rPr>
      </w:pPr>
      <w:r w:rsidRPr="00014E17">
        <w:rPr>
          <w:lang w:val="en-US"/>
        </w:rPr>
        <w:t>However, efficiency is substantially lower: approximately 69% of peak on Triad and only approximately 51% on Dot. With a single process coordinating all 6 XCDs internally, the intra-device overhead dominates. The Dot product reduction across 6 XCDs within one device is far more expensive than 6 or 3 independent reductions in CPX or TPX mode respectively.</w:t>
      </w:r>
    </w:p>
    <w:p w14:paraId="20B69DDF" w14:textId="77777777" w:rsidR="00CD5F12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30D8DB9E" wp14:editId="0A6DF8B8">
            <wp:extent cx="5524500" cy="1905000"/>
            <wp:effectExtent l="0" t="0" r="0" b="0"/>
            <wp:docPr id="7" name="/home/claude/spx_full_node.png" descr="/home/claude/spx_full_node.png" title="/home/claude/spx_full_n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33979" w14:textId="77777777" w:rsidR="00CD5F12" w:rsidRPr="00014E17" w:rsidRDefault="00000000">
      <w:pPr>
        <w:spacing w:after="240"/>
        <w:jc w:val="center"/>
        <w:rPr>
          <w:lang w:val="en-US"/>
        </w:rPr>
      </w:pPr>
      <w:r w:rsidRPr="00014E17">
        <w:rPr>
          <w:i/>
          <w:iCs/>
          <w:color w:val="555555"/>
          <w:sz w:val="20"/>
          <w:szCs w:val="20"/>
          <w:lang w:val="en-US"/>
        </w:rPr>
        <w:t>Figure 7: SPX full node — uniform across APUs but only 69% of peak on Triad.</w:t>
      </w:r>
    </w:p>
    <w:p w14:paraId="7A50990A" w14:textId="77777777" w:rsidR="00CD5F12" w:rsidRPr="00014E17" w:rsidRDefault="00000000">
      <w:pPr>
        <w:pStyle w:val="berschrift1"/>
        <w:rPr>
          <w:lang w:val="en-US"/>
        </w:rPr>
      </w:pPr>
      <w:r w:rsidRPr="00014E17">
        <w:rPr>
          <w:lang w:val="en-US"/>
        </w:rPr>
        <w:t>8. Closing the Loop: CPX vs TPX vs SPX</w:t>
      </w:r>
    </w:p>
    <w:p w14:paraId="010C1CC8" w14:textId="77777777" w:rsidR="00CD5F12" w:rsidRPr="00014E17" w:rsidRDefault="00000000">
      <w:pPr>
        <w:spacing w:after="120"/>
        <w:rPr>
          <w:lang w:val="en-US"/>
        </w:rPr>
      </w:pPr>
      <w:r w:rsidRPr="00014E17">
        <w:rPr>
          <w:lang w:val="en-US"/>
        </w:rPr>
        <w:t>The final experiment re-runs CPX at full-node utilization alongside the TPX and SPX data to produce a definitive three-way comparison. The results are unambiguous:</w:t>
      </w:r>
    </w:p>
    <w:p w14:paraId="48B8D9C8" w14:textId="77777777" w:rsidR="00CD5F12" w:rsidRPr="00014E17" w:rsidRDefault="00000000">
      <w:pPr>
        <w:spacing w:after="120"/>
        <w:rPr>
          <w:lang w:val="en-US"/>
        </w:rPr>
      </w:pPr>
      <w:r w:rsidRPr="00014E17">
        <w:rPr>
          <w:lang w:val="en-US"/>
        </w:rPr>
        <w:t>TPX achieves the highest whole-node Triad bandwidth at 16.7 TB/s (79% of the 21.2 TB/s theoretical node peak), followed by CPX at 16.4 TB/s (77%) and SPX at 14.6 TB/s (69%). On the Dot product, the gap widens further: TPX at 15.1 TB/s (71%), CPX at 13.2 TB/s (62%), and SPX at 10.7 TB/s (51%).</w:t>
      </w:r>
    </w:p>
    <w:p w14:paraId="76879F2D" w14:textId="77777777" w:rsidR="00CD5F12" w:rsidRPr="00C84B1A" w:rsidRDefault="00000000">
      <w:pPr>
        <w:spacing w:after="120"/>
      </w:pPr>
      <w:r w:rsidRPr="00014E17">
        <w:rPr>
          <w:lang w:val="en-US"/>
        </w:rPr>
        <w:t>The device-level distribution plots reveal why: CPX’s 24 devices show the widest spread (some devices at full speed, others heavily degraded), TPX’s 12 devices have moderate variance, and SPX’s 4 devices are tightly clustered but at a lower absolute level. TPX represents the best compromise between parallelism and coordination overhead.</w:t>
      </w:r>
    </w:p>
    <w:p w14:paraId="4BF27EA1" w14:textId="77777777" w:rsidR="00CD5F12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37EB66CA" wp14:editId="5CD312D8">
            <wp:extent cx="5524500" cy="4095750"/>
            <wp:effectExtent l="0" t="0" r="0" b="0"/>
            <wp:docPr id="8" name="/home/claude/cpx_tpx_spx_v2.png" descr="/home/claude/cpx_tpx_spx_v2.png" title="/home/claude/cpx_tpx_spx_v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0B4F0" w14:textId="77777777" w:rsidR="00CD5F12" w:rsidRPr="00014E17" w:rsidRDefault="00000000">
      <w:pPr>
        <w:spacing w:after="240"/>
        <w:jc w:val="center"/>
        <w:rPr>
          <w:lang w:val="en-US"/>
        </w:rPr>
      </w:pPr>
      <w:r w:rsidRPr="00014E17">
        <w:rPr>
          <w:i/>
          <w:iCs/>
          <w:color w:val="555555"/>
          <w:sz w:val="20"/>
          <w:szCs w:val="20"/>
          <w:lang w:val="en-US"/>
        </w:rPr>
        <w:t>Figure 8: Full three-way comparison — TPX leads on both aggregate bandwidth and Dot efficiency.</w:t>
      </w:r>
    </w:p>
    <w:p w14:paraId="1D5A3BD9" w14:textId="77777777" w:rsidR="00CD5F12" w:rsidRPr="00014E17" w:rsidRDefault="00000000">
      <w:pPr>
        <w:rPr>
          <w:lang w:val="en-US"/>
        </w:rPr>
      </w:pPr>
      <w:r w:rsidRPr="00014E17">
        <w:rPr>
          <w:lang w:val="en-US"/>
        </w:rPr>
        <w:br w:type="page"/>
      </w:r>
    </w:p>
    <w:p w14:paraId="29B6B373" w14:textId="77777777" w:rsidR="00CD5F12" w:rsidRPr="00014E17" w:rsidRDefault="00000000">
      <w:pPr>
        <w:pStyle w:val="berschrift1"/>
        <w:rPr>
          <w:lang w:val="en-US"/>
        </w:rPr>
      </w:pPr>
      <w:r w:rsidRPr="00014E17">
        <w:rPr>
          <w:lang w:val="en-US"/>
        </w:rPr>
        <w:lastRenderedPageBreak/>
        <w:t>Key Takeaways</w:t>
      </w:r>
    </w:p>
    <w:p w14:paraId="610EFE6B" w14:textId="77777777" w:rsidR="00CD5F12" w:rsidRPr="00014E17" w:rsidRDefault="00000000">
      <w:pPr>
        <w:pStyle w:val="berschrift2"/>
        <w:rPr>
          <w:lang w:val="en-US"/>
        </w:rPr>
      </w:pPr>
      <w:r w:rsidRPr="00014E17">
        <w:rPr>
          <w:lang w:val="en-US"/>
        </w:rPr>
        <w:t>TPX is the overall winner for streaming bandwidth</w:t>
      </w:r>
    </w:p>
    <w:p w14:paraId="17433F31" w14:textId="77777777" w:rsidR="00CD5F12" w:rsidRPr="00014E17" w:rsidRDefault="00000000">
      <w:pPr>
        <w:spacing w:after="120"/>
        <w:rPr>
          <w:lang w:val="en-US"/>
        </w:rPr>
      </w:pPr>
      <w:r w:rsidRPr="00014E17">
        <w:rPr>
          <w:lang w:val="en-US"/>
        </w:rPr>
        <w:t>At 79% of theoretical peak on Triad, TPX delivers the best aggregate node bandwidth. Its 2-XCD-per-device granularity hits the sweet spot: enough parallelism (12 processes) to saturate the HBM controllers without the coordination overhead of SPX’s monolithic 6-XCD devices.</w:t>
      </w:r>
    </w:p>
    <w:p w14:paraId="09DBF8FF" w14:textId="77777777" w:rsidR="00CD5F12" w:rsidRPr="00014E17" w:rsidRDefault="00000000">
      <w:pPr>
        <w:pStyle w:val="berschrift2"/>
        <w:rPr>
          <w:lang w:val="en-US"/>
        </w:rPr>
      </w:pPr>
      <w:r w:rsidRPr="00014E17">
        <w:rPr>
          <w:lang w:val="en-US"/>
        </w:rPr>
        <w:t>CPX is competitive but suffers from device-level variance</w:t>
      </w:r>
    </w:p>
    <w:p w14:paraId="56EBF8F8" w14:textId="77777777" w:rsidR="00CD5F12" w:rsidRPr="00014E17" w:rsidRDefault="00000000">
      <w:pPr>
        <w:spacing w:after="120"/>
        <w:rPr>
          <w:lang w:val="en-US"/>
        </w:rPr>
      </w:pPr>
      <w:r w:rsidRPr="00014E17">
        <w:rPr>
          <w:lang w:val="en-US"/>
        </w:rPr>
        <w:t>CPX’s 24 independent processes achieve 77% of peak on Triad, only 2 percentage points behind TPX. However, the wide device-to-device bandwidth spread (some XCDs at full speed, others degraded by 15–20%) makes performance less predictable. For workloads that are sensitive to load balancing, this variance can become a practical issue.</w:t>
      </w:r>
    </w:p>
    <w:p w14:paraId="35BB33FC" w14:textId="77777777" w:rsidR="00CD5F12" w:rsidRPr="00014E17" w:rsidRDefault="00000000">
      <w:pPr>
        <w:pStyle w:val="berschrift2"/>
        <w:rPr>
          <w:lang w:val="en-US"/>
        </w:rPr>
      </w:pPr>
      <w:r w:rsidRPr="00014E17">
        <w:rPr>
          <w:lang w:val="en-US"/>
        </w:rPr>
        <w:t>SPX trades efficiency for uniformity</w:t>
      </w:r>
    </w:p>
    <w:p w14:paraId="69C627FB" w14:textId="77777777" w:rsidR="00CD5F12" w:rsidRPr="00014E17" w:rsidRDefault="00000000">
      <w:pPr>
        <w:spacing w:after="120"/>
        <w:rPr>
          <w:lang w:val="en-US"/>
        </w:rPr>
      </w:pPr>
      <w:r w:rsidRPr="00014E17">
        <w:rPr>
          <w:lang w:val="en-US"/>
        </w:rPr>
        <w:t>SPX’s single-device-per-APU model eliminates inter-device contention but pays a heavy price in coordination overhead, achieving only 69% of peak on Triad and 51% on Dot. SPX is best suited for workloads that genuinely require a unified address space across all 6 XCDs within an APU.</w:t>
      </w:r>
    </w:p>
    <w:p w14:paraId="71F8B56D" w14:textId="77777777" w:rsidR="00CD5F12" w:rsidRPr="00014E17" w:rsidRDefault="00000000">
      <w:pPr>
        <w:pStyle w:val="berschrift2"/>
        <w:rPr>
          <w:lang w:val="en-US"/>
        </w:rPr>
      </w:pPr>
      <w:r w:rsidRPr="00014E17">
        <w:rPr>
          <w:lang w:val="en-US"/>
        </w:rPr>
        <w:t>HBM contention onset threshold is 2 XCDs per APU</w:t>
      </w:r>
    </w:p>
    <w:p w14:paraId="6D55105B" w14:textId="77777777" w:rsidR="00CD5F12" w:rsidRPr="00014E17" w:rsidRDefault="00000000">
      <w:pPr>
        <w:spacing w:after="120"/>
        <w:rPr>
          <w:lang w:val="en-US"/>
        </w:rPr>
      </w:pPr>
      <w:r w:rsidRPr="00014E17">
        <w:rPr>
          <w:lang w:val="en-US"/>
        </w:rPr>
        <w:t>The emulated-TPX experiment (Section 4) demonstrates that 2 concurrent XCD streams produce zero measurable contention. Degradation begins at 3 XCDs and grows progressively. This threshold is a fundamental property of the MI300A’s HBM controller design.</w:t>
      </w:r>
    </w:p>
    <w:p w14:paraId="73615357" w14:textId="77777777" w:rsidR="00CD5F12" w:rsidRPr="00014E17" w:rsidRDefault="00000000">
      <w:pPr>
        <w:pStyle w:val="berschrift2"/>
        <w:rPr>
          <w:lang w:val="en-US"/>
        </w:rPr>
      </w:pPr>
      <w:r w:rsidRPr="00014E17">
        <w:rPr>
          <w:lang w:val="en-US"/>
        </w:rPr>
        <w:t xml:space="preserve">Dot product (reductions) </w:t>
      </w:r>
      <w:proofErr w:type="gramStart"/>
      <w:r w:rsidRPr="00014E17">
        <w:rPr>
          <w:lang w:val="en-US"/>
        </w:rPr>
        <w:t>are</w:t>
      </w:r>
      <w:proofErr w:type="gramEnd"/>
      <w:r w:rsidRPr="00014E17">
        <w:rPr>
          <w:lang w:val="en-US"/>
        </w:rPr>
        <w:t xml:space="preserve"> disproportionately affected</w:t>
      </w:r>
    </w:p>
    <w:p w14:paraId="77C71A2D" w14:textId="77777777" w:rsidR="00CD5F12" w:rsidRPr="00014E17" w:rsidRDefault="00000000">
      <w:pPr>
        <w:spacing w:after="120"/>
        <w:rPr>
          <w:lang w:val="en-US"/>
        </w:rPr>
      </w:pPr>
      <w:r w:rsidRPr="00014E17">
        <w:rPr>
          <w:lang w:val="en-US"/>
        </w:rPr>
        <w:t>Across all experiments, the Dot product consistently shows the largest contention penalties. Reduction operations require cross-XCD coordination that streaming operations avoid, making Dot the most sensitive indicator of HBM contention pressure.</w:t>
      </w:r>
    </w:p>
    <w:p w14:paraId="2C442E01" w14:textId="77777777" w:rsidR="00CD5F12" w:rsidRPr="00014E17" w:rsidRDefault="00000000">
      <w:pPr>
        <w:pStyle w:val="berschrift2"/>
        <w:rPr>
          <w:lang w:val="en-US"/>
        </w:rPr>
      </w:pPr>
      <w:r w:rsidRPr="00014E17">
        <w:rPr>
          <w:lang w:val="en-US"/>
        </w:rPr>
        <w:t>Device-level asymmetry is hardware-intrinsic</w:t>
      </w:r>
    </w:p>
    <w:p w14:paraId="4EA5A75E" w14:textId="77777777" w:rsidR="00CD5F12" w:rsidRPr="00014E17" w:rsidRDefault="00000000">
      <w:pPr>
        <w:spacing w:after="120"/>
        <w:rPr>
          <w:lang w:val="en-US"/>
        </w:rPr>
      </w:pPr>
      <w:r w:rsidRPr="00014E17">
        <w:rPr>
          <w:lang w:val="en-US"/>
        </w:rPr>
        <w:t>Within each APU, specific XCDs (notably devices 2 and 4 in APU 0, and analogous positions in other APUs) consistently underperform under contention. This is reproducible across runs and array sizes, indicating a physical asymmetry in the HBM interconnect topology rather than a software scheduling artifact.</w:t>
      </w:r>
    </w:p>
    <w:sectPr w:rsidR="00CD5F12" w:rsidRPr="00014E17">
      <w:headerReference w:type="default" r:id="rId15"/>
      <w:footerReference w:type="defaul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7F81AD" w14:textId="77777777" w:rsidR="00687C7C" w:rsidRDefault="00687C7C">
      <w:r>
        <w:separator/>
      </w:r>
    </w:p>
  </w:endnote>
  <w:endnote w:type="continuationSeparator" w:id="0">
    <w:p w14:paraId="0A424561" w14:textId="77777777" w:rsidR="00687C7C" w:rsidRDefault="00687C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7C2C8" w14:textId="77777777" w:rsidR="00CD5F12" w:rsidRDefault="00000000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14E17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4D2697" w14:textId="77777777" w:rsidR="00687C7C" w:rsidRDefault="00687C7C">
      <w:r>
        <w:separator/>
      </w:r>
    </w:p>
  </w:footnote>
  <w:footnote w:type="continuationSeparator" w:id="0">
    <w:p w14:paraId="097DEEC3" w14:textId="77777777" w:rsidR="00687C7C" w:rsidRDefault="00687C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6B900E" w14:textId="77777777" w:rsidR="00CD5F12" w:rsidRDefault="00000000">
    <w:pPr>
      <w:tabs>
        <w:tab w:val="right" w:pos="9026"/>
      </w:tabs>
    </w:pPr>
    <w:r>
      <w:rPr>
        <w:i/>
        <w:iCs/>
        <w:color w:val="888888"/>
        <w:sz w:val="18"/>
        <w:szCs w:val="18"/>
      </w:rPr>
      <w:t xml:space="preserve">MI300A </w:t>
    </w:r>
    <w:proofErr w:type="spellStart"/>
    <w:r>
      <w:rPr>
        <w:i/>
        <w:iCs/>
        <w:color w:val="888888"/>
        <w:sz w:val="18"/>
        <w:szCs w:val="18"/>
      </w:rPr>
      <w:t>BabelStream</w:t>
    </w:r>
    <w:proofErr w:type="spellEnd"/>
    <w:r>
      <w:rPr>
        <w:i/>
        <w:iCs/>
        <w:color w:val="888888"/>
        <w:sz w:val="18"/>
        <w:szCs w:val="18"/>
      </w:rPr>
      <w:t xml:space="preserve"> HBM </w:t>
    </w:r>
    <w:proofErr w:type="spellStart"/>
    <w:r>
      <w:rPr>
        <w:i/>
        <w:iCs/>
        <w:color w:val="888888"/>
        <w:sz w:val="18"/>
        <w:szCs w:val="18"/>
      </w:rPr>
      <w:t>Bandwidth</w:t>
    </w:r>
    <w:proofErr w:type="spellEnd"/>
    <w:r>
      <w:rPr>
        <w:i/>
        <w:iCs/>
        <w:color w:val="888888"/>
        <w:sz w:val="18"/>
        <w:szCs w:val="18"/>
      </w:rPr>
      <w:t xml:space="preserve">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472213"/>
    <w:multiLevelType w:val="hybridMultilevel"/>
    <w:tmpl w:val="FC68E63C"/>
    <w:lvl w:ilvl="0" w:tplc="0834FFB6">
      <w:start w:val="1"/>
      <w:numFmt w:val="bullet"/>
      <w:lvlText w:val="●"/>
      <w:lvlJc w:val="left"/>
      <w:pPr>
        <w:ind w:left="720" w:hanging="360"/>
      </w:pPr>
    </w:lvl>
    <w:lvl w:ilvl="1" w:tplc="88548578">
      <w:start w:val="1"/>
      <w:numFmt w:val="bullet"/>
      <w:lvlText w:val="○"/>
      <w:lvlJc w:val="left"/>
      <w:pPr>
        <w:ind w:left="1440" w:hanging="360"/>
      </w:pPr>
    </w:lvl>
    <w:lvl w:ilvl="2" w:tplc="C6181E56">
      <w:start w:val="1"/>
      <w:numFmt w:val="bullet"/>
      <w:lvlText w:val="■"/>
      <w:lvlJc w:val="left"/>
      <w:pPr>
        <w:ind w:left="2160" w:hanging="360"/>
      </w:pPr>
    </w:lvl>
    <w:lvl w:ilvl="3" w:tplc="1CB22802">
      <w:start w:val="1"/>
      <w:numFmt w:val="bullet"/>
      <w:lvlText w:val="●"/>
      <w:lvlJc w:val="left"/>
      <w:pPr>
        <w:ind w:left="2880" w:hanging="360"/>
      </w:pPr>
    </w:lvl>
    <w:lvl w:ilvl="4" w:tplc="261C4DEC">
      <w:start w:val="1"/>
      <w:numFmt w:val="bullet"/>
      <w:lvlText w:val="○"/>
      <w:lvlJc w:val="left"/>
      <w:pPr>
        <w:ind w:left="3600" w:hanging="360"/>
      </w:pPr>
    </w:lvl>
    <w:lvl w:ilvl="5" w:tplc="B582B44E">
      <w:start w:val="1"/>
      <w:numFmt w:val="bullet"/>
      <w:lvlText w:val="■"/>
      <w:lvlJc w:val="left"/>
      <w:pPr>
        <w:ind w:left="4320" w:hanging="360"/>
      </w:pPr>
    </w:lvl>
    <w:lvl w:ilvl="6" w:tplc="9500C2E2">
      <w:start w:val="1"/>
      <w:numFmt w:val="bullet"/>
      <w:lvlText w:val="●"/>
      <w:lvlJc w:val="left"/>
      <w:pPr>
        <w:ind w:left="5040" w:hanging="360"/>
      </w:pPr>
    </w:lvl>
    <w:lvl w:ilvl="7" w:tplc="FAAAFBF2">
      <w:start w:val="1"/>
      <w:numFmt w:val="bullet"/>
      <w:lvlText w:val="●"/>
      <w:lvlJc w:val="left"/>
      <w:pPr>
        <w:ind w:left="5760" w:hanging="360"/>
      </w:pPr>
    </w:lvl>
    <w:lvl w:ilvl="8" w:tplc="2F261EBA">
      <w:start w:val="1"/>
      <w:numFmt w:val="bullet"/>
      <w:lvlText w:val="●"/>
      <w:lvlJc w:val="left"/>
      <w:pPr>
        <w:ind w:left="6480" w:hanging="360"/>
      </w:pPr>
    </w:lvl>
  </w:abstractNum>
  <w:num w:numId="1" w16cid:durableId="11643185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F12"/>
    <w:rsid w:val="00014E17"/>
    <w:rsid w:val="00687C7C"/>
    <w:rsid w:val="00C84B1A"/>
    <w:rsid w:val="00CD5F12"/>
    <w:rsid w:val="00E44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78B2A"/>
  <w15:docId w15:val="{DB6D7858-2F23-4F28-84C6-CA24DFAC8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200"/>
      <w:outlineLvl w:val="0"/>
    </w:pPr>
    <w:rPr>
      <w:b/>
      <w:bCs/>
      <w:color w:val="1A237E"/>
      <w:sz w:val="36"/>
      <w:szCs w:val="36"/>
    </w:rPr>
  </w:style>
  <w:style w:type="paragraph" w:styleId="berschrift2">
    <w:name w:val="heading 2"/>
    <w:uiPriority w:val="9"/>
    <w:unhideWhenUsed/>
    <w:qFormat/>
    <w:pPr>
      <w:spacing w:before="280" w:after="160"/>
      <w:outlineLvl w:val="1"/>
    </w:pPr>
    <w:rPr>
      <w:b/>
      <w:bCs/>
      <w:color w:val="283593"/>
      <w:sz w:val="28"/>
      <w:szCs w:val="28"/>
    </w:rPr>
  </w:style>
  <w:style w:type="paragraph" w:styleId="berschrift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37474F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1315</Words>
  <Characters>8288</Characters>
  <Application>Microsoft Office Word</Application>
  <DocSecurity>0</DocSecurity>
  <Lines>69</Lines>
  <Paragraphs>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hpckkuec</cp:lastModifiedBy>
  <cp:revision>3</cp:revision>
  <dcterms:created xsi:type="dcterms:W3CDTF">2026-02-19T10:18:00Z</dcterms:created>
  <dcterms:modified xsi:type="dcterms:W3CDTF">2026-02-19T13:26:00Z</dcterms:modified>
</cp:coreProperties>
</file>