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bidi w:val="1"/>
      </w:pPr>
      <w:r>
        <w:rPr>
          <w:rFonts w:ascii="Noto Sans Arabic" w:hAnsi="Noto Sans Arabic" w:eastAsia="Noto Sans Arabic" w:cs="Noto Sans Arabic"/>
          <w:b/>
          <w:color w:val="12304A"/>
          <w:sz w:val="56"/>
          <w:rtl w:val="1"/>
        </w:rPr>
        <w:t>كيف تُبنى الأنظمة الطبية العالمية؟</w:t>
      </w:r>
    </w:p>
    <w:p>
      <w:pPr>
        <w:jc w:val="center"/>
        <w:bidi w:val="1"/>
      </w:pPr>
      <w:r>
        <w:rPr>
          <w:rFonts w:ascii="Noto Sans Arabic" w:hAnsi="Noto Sans Arabic" w:eastAsia="Noto Sans Arabic" w:cs="Noto Sans Arabic"/>
          <w:b/>
          <w:color w:val="087E8B"/>
          <w:sz w:val="30"/>
          <w:rtl w:val="1"/>
        </w:rPr>
        <w:t>تحليل معماري وتشغيلي مقارن للعيادات والمستشفيات والمجمعات الطبية والصيدليات والمختبرات والأشعة</w:t>
      </w:r>
    </w:p>
    <w:p>
      <w:pPr>
        <w:spacing w:before="560"/>
        <w:jc w:val="center"/>
        <w:bidi w:val="1"/>
      </w:pPr>
      <w:r>
        <w:rPr>
          <w:rFonts w:ascii="Noto Sans Arabic" w:hAnsi="Noto Sans Arabic" w:eastAsia="Noto Sans Arabic" w:cs="Noto Sans Arabic"/>
          <w:color w:val="455A64"/>
          <w:sz w:val="22"/>
          <w:rtl w:val="1"/>
        </w:rPr>
        <w:t>التركيز: أفضل الأنظمة المرجعية بحسب المجال، ما تفعله فعليًا، ما لا تفعله، وإمكانية تكييفها للأردن والشرق الأوسط والعالم</w:t>
      </w:r>
    </w:p>
    <w:p>
      <w:pPr>
        <w:spacing w:before="1800"/>
        <w:jc w:val="center"/>
        <w:bidi w:val="1"/>
      </w:pPr>
      <w:r>
        <w:rPr>
          <w:rFonts w:ascii="Noto Sans Arabic" w:hAnsi="Noto Sans Arabic" w:eastAsia="Noto Sans Arabic" w:cs="Noto Sans Arabic"/>
          <w:b/>
          <w:color w:val="12304A"/>
          <w:sz w:val="20"/>
          <w:rtl w:val="1"/>
        </w:rPr>
        <w:t>نسخة بحثية محدثة حتى 10 أكتوبر 2026</w:t>
      </w:r>
    </w:p>
    <w:p>
      <w:pPr>
        <w:jc w:val="center"/>
        <w:bidi w:val="1"/>
      </w:pPr>
      <w:r>
        <w:rPr>
          <w:rFonts w:ascii="Noto Sans Arabic" w:hAnsi="Noto Sans Arabic" w:eastAsia="Noto Sans Arabic" w:cs="Noto Sans Arabic"/>
          <w:color w:val="455A64"/>
          <w:sz w:val="17"/>
          <w:rtl w:val="1"/>
        </w:rPr>
        <w:t>ملاحظة منهجية: هذه دراسة مقارنة لتوجيه القرار، وليست ترتيبًا مطلقًا أو تدقيقًا تعاقديًا لكل منتج.</w:t>
      </w:r>
    </w:p>
    <w:p>
      <w:r>
        <w:br w:type="page"/>
      </w:r>
    </w:p>
    <w:p>
      <w:pPr>
        <w:pStyle w:val="Heading1"/>
        <w:jc w:val="right"/>
        <w:bidi w:val="1"/>
      </w:pPr>
      <w:r>
        <w:rPr>
          <w:rFonts w:ascii="Noto Sans Arabic" w:hAnsi="Noto Sans Arabic" w:eastAsia="Noto Sans Arabic" w:cs="Noto Sans Arabic"/>
          <w:b/>
          <w:color w:val="12304A"/>
          <w:sz w:val="36"/>
          <w:rtl w:val="1"/>
        </w:rPr>
        <w:t>الملخص التنفيذي</w:t>
      </w:r>
    </w:p>
    <w:p>
      <w:pPr>
        <w:jc w:val="right"/>
        <w:bidi w:val="1"/>
      </w:pPr>
      <w:r>
        <w:rPr>
          <w:rFonts w:ascii="Noto Sans Arabic" w:hAnsi="Noto Sans Arabic" w:eastAsia="Noto Sans Arabic" w:cs="Noto Sans Arabic"/>
          <w:b w:val="0"/>
          <w:i w:val="0"/>
          <w:sz w:val="20"/>
          <w:rtl w:val="1"/>
        </w:rPr>
        <w:t>الخلاصة الأهم: لا يوجد «أفضل نظام طبي واحد» لكل مؤسسة. أفضل منظومة مستشفى قد تكون ثقيلة ومكلفة على عيادة صغيرة، وأفضل برنامج صيدلية لا يمكنه أن يحل محل نظام معلومات مختبر، وبرنامج أرشفة الصور لا يساوي نظام الأشعة كاملًا. المؤسسات المتقدمة تستخدم منظومة من أنظمة متخصصة تتصل بمعايير مشتركة، مع تحديد واضح لمصدر الحقيقة لكل نوع من البيانات.</w:t>
      </w:r>
    </w:p>
    <w:p>
      <w:pPr>
        <w:jc w:val="right"/>
        <w:bidi w:val="1"/>
      </w:pPr>
      <w:r>
        <w:rPr>
          <w:rFonts w:ascii="Noto Sans Arabic" w:hAnsi="Noto Sans Arabic" w:eastAsia="Noto Sans Arabic" w:cs="Noto Sans Arabic"/>
          <w:b w:val="0"/>
          <w:i w:val="0"/>
          <w:sz w:val="20"/>
          <w:rtl w:val="1"/>
        </w:rPr>
        <w:t>في المستشفيات الكبيرة، يُعد Epic مرجعًا قويًا في السوق الأمريكي بحسب بيانات KLAS؛ وتظهر MEDITECH خيارًا معتبرًا للمؤسسات الأصغر، بينما Oracle Health وInterSystems TrakCare من الأسماء المهمة في المؤسسات متعددة الأقسام والأسواق العالمية. في العيادات والمجموعات الطبية، نموذج athenaOne يدمج السجل الطبي وإدارة العيادة والفوترة ومشاركة المريض. في الأسنان، يجب تقييم الأنظمة المتخصصة مثل Open Dental على مستوى مخطط الأسنان وخطة العلاج والمطالبات والتصوير وإدارة الفروع. أما المختبر والأشعة والصيدلية، فالأفضل غالبًا اختيار منصات متخصصة وربطها بالسجل السريري بدل نسخ وظائفها بشكل سطحي داخله. [1][2][3][4][5][6][7][8][9]</w:t>
      </w:r>
    </w:p>
    <w:p>
      <w:pPr>
        <w:jc w:val="right"/>
        <w:bidi w:val="1"/>
      </w:pPr>
      <w:r>
        <w:rPr>
          <w:rFonts w:ascii="Noto Sans Arabic" w:hAnsi="Noto Sans Arabic" w:eastAsia="Noto Sans Arabic" w:cs="Noto Sans Arabic"/>
          <w:b w:val="0"/>
          <w:i w:val="0"/>
          <w:sz w:val="20"/>
          <w:rtl w:val="1"/>
        </w:rPr>
        <w:t>الدرس الأكبر للشرق الأوسط: قابلية التشغيل البيني والامتثال المحلي ليسا إضافتين لاحقتين؛ بل يجب أن يكونا جزءًا من التصميم من اليوم الأول. الأردن لديه حكيم في المنشآت المشاركة، وأبوظبي لديها ملفي، ودبي نابض، والسعودية نفيس لتبادل مطالبات التأمين والبيانات ذات الصلة. لذا فإن منتجًا عالميًا لن ينجح إقليميًا لمجرد ترجمته للعربية؛ يجب أن يفهم الهوية المحلية، والفوترة والتأمين، واللوائح، وسير العمل الطبي، وتبادل البيانات. [13][14][15][16][17]</w:t>
      </w:r>
    </w:p>
    <w:p>
      <w:pPr>
        <w:pStyle w:val="Heading1"/>
        <w:jc w:val="right"/>
        <w:bidi w:val="1"/>
      </w:pPr>
      <w:r>
        <w:rPr>
          <w:rFonts w:ascii="Noto Sans Arabic" w:hAnsi="Noto Sans Arabic" w:eastAsia="Noto Sans Arabic" w:cs="Noto Sans Arabic"/>
          <w:b/>
          <w:color w:val="12304A"/>
          <w:sz w:val="36"/>
          <w:rtl w:val="1"/>
        </w:rPr>
        <w:t>1. ما المقصود بالنظام الطبي المتكامل؟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2304A"/>
            <w:bidiVisual w:val="1"/>
            <w:vAlign w:val="center"/>
          </w:tcPr>
          <w:p>
            <w:pPr>
              <w:jc w:val="right"/>
              <w:bidi w:val="1"/>
              <w:bidi w:val="1"/>
            </w:pPr>
            <w:r/>
            <w:r>
              <w:rPr>
                <w:rFonts w:ascii="Noto Sans Arabic" w:hAnsi="Noto Sans Arabic" w:eastAsia="Noto Sans Arabic" w:cs="Noto Sans Arabic"/>
                <w:b/>
                <w:color w:val="FFFFFF"/>
                <w:sz w:val="16"/>
                <w:rtl w:val="1"/>
              </w:rPr>
              <w:t>الطبقة</w:t>
            </w:r>
          </w:p>
        </w:tc>
        <w:tc>
          <w:tcPr>
            <w:tcW w:type="dxa" w:w="3672"/>
            <w:shd w:fill="12304A"/>
            <w:bidiVisual w:val="1"/>
            <w:vAlign w:val="center"/>
          </w:tcPr>
          <w:p>
            <w:pPr>
              <w:jc w:val="right"/>
              <w:bidi w:val="1"/>
              <w:bidi w:val="1"/>
            </w:pPr>
            <w:r/>
            <w:r>
              <w:rPr>
                <w:rFonts w:ascii="Noto Sans Arabic" w:hAnsi="Noto Sans Arabic" w:eastAsia="Noto Sans Arabic" w:cs="Noto Sans Arabic"/>
                <w:b/>
                <w:color w:val="FFFFFF"/>
                <w:sz w:val="16"/>
                <w:rtl w:val="1"/>
              </w:rPr>
              <w:t>وظيفتها الحقيقية</w:t>
            </w:r>
          </w:p>
        </w:tc>
        <w:tc>
          <w:tcPr>
            <w:tcW w:type="dxa" w:w="4464"/>
            <w:shd w:fill="12304A"/>
            <w:bidiVisual w:val="1"/>
            <w:vAlign w:val="center"/>
          </w:tcPr>
          <w:p>
            <w:pPr>
              <w:jc w:val="right"/>
              <w:bidi w:val="1"/>
              <w:bidi w:val="1"/>
            </w:pPr>
            <w:r/>
            <w:r>
              <w:rPr>
                <w:rFonts w:ascii="Noto Sans Arabic" w:hAnsi="Noto Sans Arabic" w:eastAsia="Noto Sans Arabic" w:cs="Noto Sans Arabic"/>
                <w:b/>
                <w:color w:val="FFFFFF"/>
                <w:sz w:val="16"/>
                <w:rtl w:val="1"/>
              </w:rPr>
              <w:t>الأنظمة أو المكونات النموذجية</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HIS / Hospital Management</w:t>
            </w:r>
          </w:p>
        </w:tc>
        <w:tc>
          <w:tcPr>
            <w:tcW w:type="dxa" w:w="36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تشغيل المنشأة: القبول، الأسرة، الحركة، الموارد، العمليات الإدارية والمالية</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التسجيل، ADT، الأسرة، الجدولة، الفوترة، الموارد البشرية والمخزون</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EHR / EMR</w:t>
            </w:r>
          </w:p>
        </w:tc>
        <w:tc>
          <w:tcPr>
            <w:tcW w:type="dxa" w:w="36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السجل السريري: ما حدث للمريض وما يخطط الفريق لفعله</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التاريخ الطبي، التشخيص، الحساسية، الأدوية، الملاحظات، الأوامر، النتائج</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Practice Management</w:t>
            </w:r>
          </w:p>
        </w:tc>
        <w:tc>
          <w:tcPr>
            <w:tcW w:type="dxa" w:w="36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تشغيل العيادات والمجموعات الطبية</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المواعيد، قوائم الانتظار، تذكير المريض، الجداول، المطالبات، التحصيل</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LIS</w:t>
            </w:r>
          </w:p>
        </w:tc>
        <w:tc>
          <w:tcPr>
            <w:tcW w:type="dxa" w:w="36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سير العمل في المختبر السريري</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طلب الفحص، العينة، الباركود، الجهاز، ضبط الجودة، اعتماد النتيجة</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RIS + PACS / VNA</w:t>
            </w:r>
          </w:p>
        </w:tc>
        <w:tc>
          <w:tcPr>
            <w:tcW w:type="dxa" w:w="36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تنظيم فحوص الأشعة والتقارير وحفظ الصور والوصول إليها</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الجدولة، بروتوكول الفحص، DICOM، قراءة الصور، التقرير، الأرشفة</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PMS / Pharmacy System</w:t>
            </w:r>
          </w:p>
        </w:tc>
        <w:tc>
          <w:tcPr>
            <w:tcW w:type="dxa" w:w="36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صرف الأدوية وتشغيل صيدلية التجزئة أو المستشفى</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الوصفة، التحقق، المخزون، الدفعات والصلاحية، التداخلات، الصرف والفوترة</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HIE / Integration Platform</w:t>
            </w:r>
          </w:p>
        </w:tc>
        <w:tc>
          <w:tcPr>
            <w:tcW w:type="dxa" w:w="36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تبادل آمن ومفهوم بين المؤسسات والأنظمة</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FHIR/HL7، DICOM، IHE، سجل تدقيق، فهرس هوية المريض</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ERP / Revenue Cycle</w:t>
            </w:r>
          </w:p>
        </w:tc>
        <w:tc>
          <w:tcPr>
            <w:tcW w:type="dxa" w:w="36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إدارة الجانب المالي والإداري المؤسسي</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المحاسبة، العقود، المطالبات، رفض المطالبة، الذمم، المشتريات والتكاليف</w:t>
            </w:r>
          </w:p>
        </w:tc>
      </w:tr>
    </w:tbl>
    <w:p>
      <w:pPr>
        <w:spacing w:after="20"/>
      </w:pPr>
    </w:p>
    <w:p>
      <w:pPr>
        <w:jc w:val="right"/>
        <w:bidi w:val="1"/>
      </w:pPr>
      <w:r>
        <w:rPr>
          <w:rFonts w:ascii="Noto Sans Arabic" w:hAnsi="Noto Sans Arabic" w:eastAsia="Noto Sans Arabic" w:cs="Noto Sans Arabic"/>
          <w:b w:val="0"/>
          <w:i w:val="0"/>
          <w:sz w:val="20"/>
          <w:rtl w:val="1"/>
        </w:rPr>
        <w:t>التمييز الحاسم: السجل الطبي هو سجل للرعاية، وليس مجرد شاشة إدخال. ونظام المعلومات الصحي HIS قد يكون ممتازًا في الفوترة والأسرة لكنه ليس بالضرورة ممتازًا في كل تخصص طبي. كما أن PACS يخزن ويعرض الصور الطبية، لكنه لا يقوم وحده مقام RIS لإدارة طلبات الأشعة وجدولتها وتوزيع التقارير.</w:t>
      </w:r>
    </w:p>
    <w:p>
      <w:pPr>
        <w:pStyle w:val="Heading1"/>
        <w:jc w:val="right"/>
        <w:bidi w:val="1"/>
      </w:pPr>
      <w:r>
        <w:rPr>
          <w:rFonts w:ascii="Noto Sans Arabic" w:hAnsi="Noto Sans Arabic" w:eastAsia="Noto Sans Arabic" w:cs="Noto Sans Arabic"/>
          <w:b/>
          <w:color w:val="12304A"/>
          <w:sz w:val="36"/>
          <w:rtl w:val="1"/>
        </w:rPr>
        <w:t>2. المستشفيات الكبيرة والأنظمة المؤسسية</w:t>
      </w:r>
    </w:p>
    <w:p>
      <w:pPr>
        <w:pStyle w:val="Heading2"/>
        <w:jc w:val="right"/>
        <w:bidi w:val="1"/>
      </w:pPr>
      <w:r>
        <w:rPr>
          <w:rFonts w:ascii="Noto Sans Arabic" w:hAnsi="Noto Sans Arabic" w:eastAsia="Noto Sans Arabic" w:cs="Noto Sans Arabic"/>
          <w:b/>
          <w:color w:val="087E8B"/>
          <w:sz w:val="26"/>
          <w:rtl w:val="1"/>
        </w:rPr>
        <w:t>الأنظمة المرجعية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304A"/>
            <w:bidiVisual w:val="1"/>
            <w:vAlign w:val="center"/>
          </w:tcPr>
          <w:p>
            <w:pPr>
              <w:jc w:val="right"/>
              <w:bidi w:val="1"/>
              <w:bidi w:val="1"/>
            </w:pPr>
            <w:r/>
            <w:r>
              <w:rPr>
                <w:rFonts w:ascii="Noto Sans Arabic" w:hAnsi="Noto Sans Arabic" w:eastAsia="Noto Sans Arabic" w:cs="Noto Sans Arabic"/>
                <w:b/>
                <w:color w:val="FFFFFF"/>
                <w:sz w:val="15"/>
                <w:rtl w:val="1"/>
              </w:rPr>
              <w:t>النظام</w:t>
            </w:r>
          </w:p>
        </w:tc>
        <w:tc>
          <w:tcPr>
            <w:tcW w:type="dxa" w:w="3888"/>
            <w:shd w:fill="12304A"/>
            <w:bidiVisual w:val="1"/>
            <w:vAlign w:val="center"/>
          </w:tcPr>
          <w:p>
            <w:pPr>
              <w:jc w:val="right"/>
              <w:bidi w:val="1"/>
              <w:bidi w:val="1"/>
            </w:pPr>
            <w:r/>
            <w:r>
              <w:rPr>
                <w:rFonts w:ascii="Noto Sans Arabic" w:hAnsi="Noto Sans Arabic" w:eastAsia="Noto Sans Arabic" w:cs="Noto Sans Arabic"/>
                <w:b/>
                <w:color w:val="FFFFFF"/>
                <w:sz w:val="15"/>
                <w:rtl w:val="1"/>
              </w:rPr>
              <w:t>أين يبرز؟</w:t>
            </w:r>
          </w:p>
        </w:tc>
        <w:tc>
          <w:tcPr>
            <w:tcW w:type="dxa" w:w="4392"/>
            <w:shd w:fill="12304A"/>
            <w:bidiVisual w:val="1"/>
            <w:vAlign w:val="center"/>
          </w:tcPr>
          <w:p>
            <w:pPr>
              <w:jc w:val="right"/>
              <w:bidi w:val="1"/>
              <w:bidi w:val="1"/>
            </w:pPr>
            <w:r/>
            <w:r>
              <w:rPr>
                <w:rFonts w:ascii="Noto Sans Arabic" w:hAnsi="Noto Sans Arabic" w:eastAsia="Noto Sans Arabic" w:cs="Noto Sans Arabic"/>
                <w:b/>
                <w:color w:val="FFFFFF"/>
                <w:sz w:val="15"/>
                <w:rtl w:val="1"/>
              </w:rPr>
              <w:t>ما الذي يجب فحصه قبل اختياره؟</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Epic</w:t>
            </w:r>
          </w:p>
        </w:tc>
        <w:tc>
          <w:tcPr>
            <w:tcW w:type="dxa" w:w="38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مرجع قوي للمستشفيات ومراكز الرعاية الأكاديمية والأنظمة الكبيرة؛ يغطي نطاقًا سريريًا ومؤسسيًا واسعًا. تصدرت Epic فئات المستشفيات الكبيرة والمتوسطة في بيانات KLAS الأمريكية المنشورة لعام 2025. [1]</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حجم الاستثمار والترحيل والتدريب؛ عمق الاعتماد على المنظومة؛ قابلية تعديل سير العمل المحلي؛ التكامل مع التأمين والصيدليات والأجهزة خارج السوق الأصلي.</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Oracle Health / Millennium</w:t>
            </w:r>
          </w:p>
        </w:tc>
        <w:tc>
          <w:tcPr>
            <w:tcW w:type="dxa" w:w="38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مجموعة سريرية مؤسسية تشمل التسجيل السريري، العمليات والوصلات وتخصصات متعددة، مع ادعاء واضح بالتنسيق عبر مسار الرعاية. [3]</w:t>
            </w:r>
          </w:p>
        </w:tc>
        <w:tc>
          <w:tcPr>
            <w:tcW w:type="dxa" w:w="439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تحقق من المنتج والنسخة المعروضة محليًا لا من العرض التسويقي العام؛ خطط الدعم والهجرة والتكامل؛ توافر كل وظيفة في البلد المعني.</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MEDITECH Expanse</w:t>
            </w:r>
          </w:p>
        </w:tc>
        <w:tc>
          <w:tcPr>
            <w:tcW w:type="dxa" w:w="38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خيار مستشفى يستحق التقييم خصوصًا للمؤسسات التي تحتاج نطاقًا سريريًا واسعًا بموارد تنفيذية أكثر تحفظًا؛ ظهر قويًا في فئة المستشفيات الصغيرة في بيانات KLAS لعام 2025. [1]</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عمق التغطية لكل تخصص، تجربة الاستخدام، تكامل الأجهزة، قدرات السجلات الإقليمية، وخريطة تحديثات المنتج.</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InterSystems TrakCare</w:t>
            </w:r>
          </w:p>
        </w:tc>
        <w:tc>
          <w:tcPr>
            <w:tcW w:type="dxa" w:w="38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منصة EHR/معلومات صحية ذات حضور عالمي؛ تُظهر نتائج KLAS العالمية اختلاف الفائزين بحسب المنطقة والسوق، فلا ينبغي حصر أفضلية السوق في أمريكا. [19]</w:t>
            </w:r>
          </w:p>
        </w:tc>
        <w:tc>
          <w:tcPr>
            <w:tcW w:type="dxa" w:w="439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إثبات الملاءمة في منشآت شبيهة محليًا؛ جودة التنفيذ والدعم؛ مرونة النماذج واللغة والربط مع الأنظمة القائمة.</w:t>
            </w:r>
          </w:p>
        </w:tc>
      </w:tr>
    </w:tbl>
    <w:p>
      <w:pPr>
        <w:spacing w:after="20"/>
      </w:pPr>
    </w:p>
    <w:p>
      <w:pPr>
        <w:pStyle w:val="Heading2"/>
        <w:jc w:val="right"/>
        <w:bidi w:val="1"/>
      </w:pPr>
      <w:r>
        <w:rPr>
          <w:rFonts w:ascii="Noto Sans Arabic" w:hAnsi="Noto Sans Arabic" w:eastAsia="Noto Sans Arabic" w:cs="Noto Sans Arabic"/>
          <w:b/>
          <w:color w:val="087E8B"/>
          <w:sz w:val="26"/>
          <w:rtl w:val="1"/>
        </w:rPr>
        <w:t>تشريح الوظائف التي يجب أن تتوافر في نظام المستشفى</w:t>
      </w:r>
    </w:p>
    <w:p>
      <w:pPr>
        <w:pStyle w:val="ListBullet"/>
        <w:ind w:right="259" w:left="72"/>
        <w:jc w:val="right"/>
        <w:bidi w:val="1"/>
      </w:pPr>
      <w:r>
        <w:rPr>
          <w:rFonts w:ascii="Noto Sans Arabic" w:hAnsi="Noto Sans Arabic" w:eastAsia="Noto Sans Arabic" w:cs="Noto Sans Arabic"/>
          <w:sz w:val="19"/>
          <w:rtl w:val="1"/>
        </w:rPr>
        <w:t>التسجيل والقبول والتحويل والخروج (ADT): رقم طبي موحد، تمييز الزيارات عن هوية المريض، إدارة الأسرة، الإحالات، نقل المسؤولية بين الأقسام.</w:t>
      </w:r>
    </w:p>
    <w:p>
      <w:pPr>
        <w:pStyle w:val="ListBullet"/>
        <w:ind w:right="259" w:left="72"/>
        <w:jc w:val="right"/>
        <w:bidi w:val="1"/>
      </w:pPr>
      <w:r>
        <w:rPr>
          <w:rFonts w:ascii="Noto Sans Arabic" w:hAnsi="Noto Sans Arabic" w:eastAsia="Noto Sans Arabic" w:cs="Noto Sans Arabic"/>
          <w:sz w:val="19"/>
          <w:rtl w:val="1"/>
        </w:rPr>
        <w:t>العمل السريري: ملاحظات الأطباء والتمريض، التشخيصات، الحساسية، مراجعة الأدوية، العلامات الحيوية، الأوامر، خطط العلاج، التوثيق الزمني والموقّع.</w:t>
      </w:r>
    </w:p>
    <w:p>
      <w:pPr>
        <w:pStyle w:val="ListBullet"/>
        <w:ind w:right="259" w:left="72"/>
        <w:jc w:val="right"/>
        <w:bidi w:val="1"/>
      </w:pPr>
      <w:r>
        <w:rPr>
          <w:rFonts w:ascii="Noto Sans Arabic" w:hAnsi="Noto Sans Arabic" w:eastAsia="Noto Sans Arabic" w:cs="Noto Sans Arabic"/>
          <w:sz w:val="19"/>
          <w:rtl w:val="1"/>
        </w:rPr>
        <w:t>الطوارئ والعمليات والعناية الحثيثة: فرز الحالات، أولوية التدهور، الأدوية الوريدية، التخدير، قوائم العمليات، سلامة ما قبل الجراحة، المراقبة وتوثيق التمريض.</w:t>
      </w:r>
    </w:p>
    <w:p>
      <w:pPr>
        <w:pStyle w:val="ListBullet"/>
        <w:ind w:right="259" w:left="72"/>
        <w:jc w:val="right"/>
        <w:bidi w:val="1"/>
      </w:pPr>
      <w:r>
        <w:rPr>
          <w:rFonts w:ascii="Noto Sans Arabic" w:hAnsi="Noto Sans Arabic" w:eastAsia="Noto Sans Arabic" w:cs="Noto Sans Arabic"/>
          <w:sz w:val="19"/>
          <w:rtl w:val="1"/>
        </w:rPr>
        <w:t>الصيدلية المركزية: التحقق من الجرعات والحساسية والتكرار، الصرف على مستوى المريض، إدارة المخزون والمستودع، توثيق إعطاء الدواء، وسحب الدفعات عند الحاجة.</w:t>
      </w:r>
    </w:p>
    <w:p>
      <w:pPr>
        <w:pStyle w:val="ListBullet"/>
        <w:ind w:right="259" w:left="72"/>
        <w:jc w:val="right"/>
        <w:bidi w:val="1"/>
      </w:pPr>
      <w:r>
        <w:rPr>
          <w:rFonts w:ascii="Noto Sans Arabic" w:hAnsi="Noto Sans Arabic" w:eastAsia="Noto Sans Arabic" w:cs="Noto Sans Arabic"/>
          <w:sz w:val="19"/>
          <w:rtl w:val="1"/>
        </w:rPr>
        <w:t>المختبر والأشعة: أوامر تنشأ من السجل، معرفات عينات وفحوصات، نتائج معتمدة، تقارير مرتبطة بالطلب الصحيح، وتنبيه فوري للنتائج الحرجة.</w:t>
      </w:r>
    </w:p>
    <w:p>
      <w:pPr>
        <w:pStyle w:val="ListBullet"/>
        <w:ind w:right="259" w:left="72"/>
        <w:jc w:val="right"/>
        <w:bidi w:val="1"/>
      </w:pPr>
      <w:r>
        <w:rPr>
          <w:rFonts w:ascii="Noto Sans Arabic" w:hAnsi="Noto Sans Arabic" w:eastAsia="Noto Sans Arabic" w:cs="Noto Sans Arabic"/>
          <w:sz w:val="19"/>
          <w:rtl w:val="1"/>
        </w:rPr>
        <w:t>الإدارة المالية: فصل ما تم تقديمه سريريًا عما تم احتسابه ماليًا؛ ربط الإجراء بالتغطية والاعتماد والمطالبة، ثم متابعة الرفض والتسوية.</w:t>
      </w:r>
    </w:p>
    <w:p>
      <w:pPr>
        <w:pStyle w:val="ListBullet"/>
        <w:ind w:right="259" w:left="72"/>
        <w:jc w:val="right"/>
        <w:bidi w:val="1"/>
      </w:pPr>
      <w:r>
        <w:rPr>
          <w:rFonts w:ascii="Noto Sans Arabic" w:hAnsi="Noto Sans Arabic" w:eastAsia="Noto Sans Arabic" w:cs="Noto Sans Arabic"/>
          <w:sz w:val="19"/>
          <w:rtl w:val="1"/>
        </w:rPr>
        <w:t>الجودة والسلامة: إدارة الأحداث، مكافحة العدوى، مراقبة الأخطاء الدوائية، صلاحيات تفصيلية، سجل تدقيق غير قابل للمحو الصامت، وتقارير تحسين الجودة.</w:t>
      </w:r>
    </w:p>
    <w:p>
      <w:pPr>
        <w:jc w:val="right"/>
        <w:bidi w:val="1"/>
      </w:pPr>
      <w:r>
        <w:rPr>
          <w:rFonts w:ascii="Noto Sans Arabic" w:hAnsi="Noto Sans Arabic" w:eastAsia="Noto Sans Arabic" w:cs="Noto Sans Arabic"/>
          <w:b w:val="0"/>
          <w:i w:val="0"/>
          <w:sz w:val="20"/>
          <w:rtl w:val="1"/>
        </w:rPr>
        <w:t>الحكم الهندسي: نظام المستشفى يجب ألا يكتفي بتجميع وحدات منفصلة تحت قائمة واحدة؛ يجب أن يحافظ على اتساق هوية المريض والزيارة والطلب والنتيجة والدواء والفاتورة، مع تاريخ واضح لكل تعديل. نجاح منصة المستشفى يعتمد بقدر كبير على التنفيذ وتوحيد الإجراءات والتدريب، لا على قائمة الميزات فقط.</w:t>
      </w:r>
    </w:p>
    <w:p>
      <w:pPr>
        <w:pStyle w:val="Heading1"/>
        <w:jc w:val="right"/>
        <w:bidi w:val="1"/>
      </w:pPr>
      <w:r>
        <w:rPr>
          <w:rFonts w:ascii="Noto Sans Arabic" w:hAnsi="Noto Sans Arabic" w:eastAsia="Noto Sans Arabic" w:cs="Noto Sans Arabic"/>
          <w:b/>
          <w:color w:val="12304A"/>
          <w:sz w:val="36"/>
          <w:rtl w:val="1"/>
        </w:rPr>
        <w:t>3. العيادات والمجمعات الطبية والمجموعات متعددة الفروع</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2304A"/>
            <w:bidiVisual w:val="1"/>
            <w:vAlign w:val="center"/>
          </w:tcPr>
          <w:p>
            <w:pPr>
              <w:jc w:val="right"/>
              <w:bidi w:val="1"/>
              <w:bidi w:val="1"/>
            </w:pPr>
            <w:r/>
            <w:r>
              <w:rPr>
                <w:rFonts w:ascii="Noto Sans Arabic" w:hAnsi="Noto Sans Arabic" w:eastAsia="Noto Sans Arabic" w:cs="Noto Sans Arabic"/>
                <w:b/>
                <w:color w:val="FFFFFF"/>
                <w:sz w:val="16"/>
                <w:rtl w:val="1"/>
              </w:rPr>
              <w:t>المرجع</w:t>
            </w:r>
          </w:p>
        </w:tc>
        <w:tc>
          <w:tcPr>
            <w:tcW w:type="dxa" w:w="4032"/>
            <w:shd w:fill="12304A"/>
            <w:bidiVisual w:val="1"/>
            <w:vAlign w:val="center"/>
          </w:tcPr>
          <w:p>
            <w:pPr>
              <w:jc w:val="right"/>
              <w:bidi w:val="1"/>
              <w:bidi w:val="1"/>
            </w:pPr>
            <w:r/>
            <w:r>
              <w:rPr>
                <w:rFonts w:ascii="Noto Sans Arabic" w:hAnsi="Noto Sans Arabic" w:eastAsia="Noto Sans Arabic" w:cs="Noto Sans Arabic"/>
                <w:b/>
                <w:color w:val="FFFFFF"/>
                <w:sz w:val="16"/>
                <w:rtl w:val="1"/>
              </w:rPr>
              <w:t>نقطة القوة</w:t>
            </w:r>
          </w:p>
        </w:tc>
        <w:tc>
          <w:tcPr>
            <w:tcW w:type="dxa" w:w="4320"/>
            <w:shd w:fill="12304A"/>
            <w:bidiVisual w:val="1"/>
            <w:vAlign w:val="center"/>
          </w:tcPr>
          <w:p>
            <w:pPr>
              <w:jc w:val="right"/>
              <w:bidi w:val="1"/>
              <w:bidi w:val="1"/>
            </w:pPr>
            <w:r/>
            <w:r>
              <w:rPr>
                <w:rFonts w:ascii="Noto Sans Arabic" w:hAnsi="Noto Sans Arabic" w:eastAsia="Noto Sans Arabic" w:cs="Noto Sans Arabic"/>
                <w:b/>
                <w:color w:val="FFFFFF"/>
                <w:sz w:val="16"/>
                <w:rtl w:val="1"/>
              </w:rPr>
              <w:t>الحدود والأسئلة المهمة للشرق الأوسط</w:t>
            </w:r>
          </w:p>
        </w:tc>
      </w:tr>
      <w:tr>
        <w:tc>
          <w:tcPr>
            <w:tcW w:type="dxa" w:w="18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athenaOne</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حل موحد يجمع EHR وإدارة الممارسة والفوترة الطبية وتفاعل المريض؛ وتذكر الشركة شبكة تكاملات سريرية وتجارية كبيرة. [4]</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الميزات المعلنة مرتبطة بالسوق والمنتجات المتاحة؛ افحص الترميز المحلي والتأمين والفوترة العربية والتراخيص وتوفر الخدمة في البلد.</w:t>
            </w:r>
          </w:p>
        </w:tc>
      </w:tr>
      <w:tr>
        <w:tc>
          <w:tcPr>
            <w:tcW w:type="dxa" w:w="18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Open Dental</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مرجع مفيد للعيادات السنية وإدارة الفروع: مواعيد، ملف المريض والعائلة، الحسابات، خطط العلاج، مخطط الأسنان، التصوير وإدارة الممارسة. توثق الشركة خيارات لفروع متعددة وصلاحيات منفصلة. [20][21]</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لا تفترض أن كل خدمة سحابية أو تكامل خارجي متاح خارج السوق الذي صمم له. يلزم اختبار المخطط السني والمصطلحات والتأمين المحلي ومزامنة العيادات.</w:t>
            </w:r>
          </w:p>
        </w:tc>
      </w:tr>
      <w:tr>
        <w:tc>
          <w:tcPr>
            <w:tcW w:type="dxa" w:w="18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المنصات المحلية المتخصصة</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قد تكون أفضل في الفوترة واللغة والاتصالات المحلية ودعم الميدان والتقارير الضريبية والتأمين.</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لا يكفي أن تكون محلية: افحص سجل التعديلات، نسخ الاحتياطي، التصدير الكامل، API، عزل الفروع، الاختبارات، وخطة التعافي من الكوارث.</w:t>
            </w:r>
          </w:p>
        </w:tc>
      </w:tr>
    </w:tbl>
    <w:p>
      <w:pPr>
        <w:spacing w:after="20"/>
      </w:pPr>
    </w:p>
    <w:p>
      <w:pPr>
        <w:pStyle w:val="Heading2"/>
        <w:jc w:val="right"/>
        <w:bidi w:val="1"/>
      </w:pPr>
      <w:r>
        <w:rPr>
          <w:rFonts w:ascii="Noto Sans Arabic" w:hAnsi="Noto Sans Arabic" w:eastAsia="Noto Sans Arabic" w:cs="Noto Sans Arabic"/>
          <w:b/>
          <w:color w:val="087E8B"/>
          <w:sz w:val="26"/>
          <w:rtl w:val="1"/>
        </w:rPr>
        <w:t>النطاق الضروري لأي مجمع طبي</w:t>
      </w:r>
    </w:p>
    <w:p>
      <w:pPr>
        <w:pStyle w:val="ListBullet"/>
        <w:ind w:right="259" w:left="72"/>
        <w:jc w:val="right"/>
        <w:bidi w:val="1"/>
      </w:pPr>
      <w:r>
        <w:rPr>
          <w:rFonts w:ascii="Noto Sans Arabic" w:hAnsi="Noto Sans Arabic" w:eastAsia="Noto Sans Arabic" w:cs="Noto Sans Arabic"/>
          <w:sz w:val="19"/>
          <w:rtl w:val="1"/>
        </w:rPr>
        <w:t>جدولة متعددة التخصصات، غرف وأجهزة وأطباء وموارد، وقواعد تمنع الحجز المزدوج.</w:t>
      </w:r>
    </w:p>
    <w:p>
      <w:pPr>
        <w:pStyle w:val="ListBullet"/>
        <w:ind w:right="259" w:left="72"/>
        <w:jc w:val="right"/>
        <w:bidi w:val="1"/>
      </w:pPr>
      <w:r>
        <w:rPr>
          <w:rFonts w:ascii="Noto Sans Arabic" w:hAnsi="Noto Sans Arabic" w:eastAsia="Noto Sans Arabic" w:cs="Noto Sans Arabic"/>
          <w:sz w:val="19"/>
          <w:rtl w:val="1"/>
        </w:rPr>
        <w:t>الاستقبال والانتظار والفرز، تسجيل الحضور، حالة الموعد لحظيًا، والتعامل مع عدم الحضور.</w:t>
      </w:r>
    </w:p>
    <w:p>
      <w:pPr>
        <w:pStyle w:val="ListBullet"/>
        <w:ind w:right="259" w:left="72"/>
        <w:jc w:val="right"/>
        <w:bidi w:val="1"/>
      </w:pPr>
      <w:r>
        <w:rPr>
          <w:rFonts w:ascii="Noto Sans Arabic" w:hAnsi="Noto Sans Arabic" w:eastAsia="Noto Sans Arabic" w:cs="Noto Sans Arabic"/>
          <w:sz w:val="19"/>
          <w:rtl w:val="1"/>
        </w:rPr>
        <w:t>ملف سريري طويل الأمد يجمع زيارات كل فرع مع الفصل بين جهة العلاج والصلاحيات، وليس مجرد تاريخ فواتير.</w:t>
      </w:r>
    </w:p>
    <w:p>
      <w:pPr>
        <w:pStyle w:val="ListBullet"/>
        <w:ind w:right="259" w:left="72"/>
        <w:jc w:val="right"/>
        <w:bidi w:val="1"/>
      </w:pPr>
      <w:r>
        <w:rPr>
          <w:rFonts w:ascii="Noto Sans Arabic" w:hAnsi="Noto Sans Arabic" w:eastAsia="Noto Sans Arabic" w:cs="Noto Sans Arabic"/>
          <w:sz w:val="19"/>
          <w:rtl w:val="1"/>
        </w:rPr>
        <w:t>نماذج تخصصية قابلة للضبط دون تغيير دلالات البيانات المشتركة أو كسر التحديثات.</w:t>
      </w:r>
    </w:p>
    <w:p>
      <w:pPr>
        <w:pStyle w:val="ListBullet"/>
        <w:ind w:right="259" w:left="72"/>
        <w:jc w:val="right"/>
        <w:bidi w:val="1"/>
      </w:pPr>
      <w:r>
        <w:rPr>
          <w:rFonts w:ascii="Noto Sans Arabic" w:hAnsi="Noto Sans Arabic" w:eastAsia="Noto Sans Arabic" w:cs="Noto Sans Arabic"/>
          <w:sz w:val="19"/>
          <w:rtl w:val="1"/>
        </w:rPr>
        <w:t>الموافقات والتوقيع والوثائق والصور والوصفات والإحالات وطلبات الفحوصات.</w:t>
      </w:r>
    </w:p>
    <w:p>
      <w:pPr>
        <w:pStyle w:val="ListBullet"/>
        <w:ind w:right="259" w:left="72"/>
        <w:jc w:val="right"/>
        <w:bidi w:val="1"/>
      </w:pPr>
      <w:r>
        <w:rPr>
          <w:rFonts w:ascii="Noto Sans Arabic" w:hAnsi="Noto Sans Arabic" w:eastAsia="Noto Sans Arabic" w:cs="Noto Sans Arabic"/>
          <w:sz w:val="19"/>
          <w:rtl w:val="1"/>
        </w:rPr>
        <w:t>إدارة الإيرادات والتسعير والعقود والتغطيات والموافقات المسبقة والرفض والتحصيل والتقارير حسب الطبيب والفرع والتخصص.</w:t>
      </w:r>
    </w:p>
    <w:p>
      <w:pPr>
        <w:pStyle w:val="ListBullet"/>
        <w:ind w:right="259" w:left="72"/>
        <w:jc w:val="right"/>
        <w:bidi w:val="1"/>
      </w:pPr>
      <w:r>
        <w:rPr>
          <w:rFonts w:ascii="Noto Sans Arabic" w:hAnsi="Noto Sans Arabic" w:eastAsia="Noto Sans Arabic" w:cs="Noto Sans Arabic"/>
          <w:sz w:val="19"/>
          <w:rtl w:val="1"/>
        </w:rPr>
        <w:t>رسائل المرضى وتذكير المواعيد وبوابة المريض، مع تفضيلات اللغة والموافقة وقنوات الاتصال المحلية.</w:t>
      </w:r>
    </w:p>
    <w:p>
      <w:pPr>
        <w:jc w:val="right"/>
        <w:bidi w:val="1"/>
      </w:pPr>
      <w:r>
        <w:rPr>
          <w:rFonts w:ascii="Noto Sans Arabic" w:hAnsi="Noto Sans Arabic" w:eastAsia="Noto Sans Arabic" w:cs="Noto Sans Arabic"/>
          <w:b w:val="0"/>
          <w:i w:val="0"/>
          <w:sz w:val="20"/>
          <w:rtl w:val="1"/>
        </w:rPr>
        <w:t>أكثر نقطة يتم إهمالها: سجل المريض الموحد ليس نسخة من كل الملاحظات على شاشة واحدة. يجب أن يعرض للطبيب خطًا زمنيًا واضحًا: التاريخ، المنشأة، الطبيب، الشكوى، التشخيص، الإجراء، الدواء، نتائج المختبر والأشعة، الحساسية، والوثيقة الأصلية، مع إظهار مصدر كل معلومة وما إذا كانت معتمدة أو ملغاة.</w:t>
      </w:r>
    </w:p>
    <w:p>
      <w:pPr>
        <w:pStyle w:val="Heading1"/>
        <w:jc w:val="right"/>
        <w:bidi w:val="1"/>
      </w:pPr>
      <w:r>
        <w:rPr>
          <w:rFonts w:ascii="Noto Sans Arabic" w:hAnsi="Noto Sans Arabic" w:eastAsia="Noto Sans Arabic" w:cs="Noto Sans Arabic"/>
          <w:b/>
          <w:color w:val="12304A"/>
          <w:sz w:val="36"/>
          <w:rtl w:val="1"/>
        </w:rPr>
        <w:t>4. عيادات الأسنان: تخصص يحتاج نموذج بيانات خاصًا</w:t>
      </w:r>
    </w:p>
    <w:p>
      <w:pPr>
        <w:jc w:val="right"/>
        <w:bidi w:val="1"/>
      </w:pPr>
      <w:r>
        <w:rPr>
          <w:rFonts w:ascii="Noto Sans Arabic" w:hAnsi="Noto Sans Arabic" w:eastAsia="Noto Sans Arabic" w:cs="Noto Sans Arabic"/>
          <w:b w:val="0"/>
          <w:i w:val="0"/>
          <w:sz w:val="20"/>
          <w:rtl w:val="1"/>
        </w:rPr>
        <w:t>أنظمة الأسنان ليست مجرد نسخة مصغرة من السجل الطبي العام؛ فهي تحتاج مخططًا سنيًا دائمًا، أسطح الأسنان وحالاتها، سجل الإجراءات، مخططات اللثة، الصور والأشعة، خطة العلاج، تسلسل الجلسات، موافقات المريض، المختبرات السنية والأعمال التعويضية، وتكاليف الخطة مقابل ما أُنجز فعلًا. يقدم Open Dental مثلًا وحدات منفصلة للمواعيد والملف والحسابات وخطة العلاج والمخطط والتصوير والإدارة، مع إمكانات لإدارة مواقع متعددة. [20][21]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2304A"/>
            <w:bidiVisual w:val="1"/>
            <w:vAlign w:val="center"/>
          </w:tcPr>
          <w:p>
            <w:pPr>
              <w:jc w:val="right"/>
              <w:bidi w:val="1"/>
              <w:bidi w:val="1"/>
            </w:pPr>
            <w:r/>
            <w:r>
              <w:rPr>
                <w:rFonts w:ascii="Noto Sans Arabic" w:hAnsi="Noto Sans Arabic" w:eastAsia="Noto Sans Arabic" w:cs="Noto Sans Arabic"/>
                <w:b/>
                <w:color w:val="FFFFFF"/>
                <w:sz w:val="15"/>
                <w:rtl w:val="1"/>
              </w:rPr>
              <w:t>الجزئية</w:t>
            </w:r>
          </w:p>
        </w:tc>
        <w:tc>
          <w:tcPr>
            <w:tcW w:type="dxa" w:w="4464"/>
            <w:shd w:fill="12304A"/>
            <w:bidiVisual w:val="1"/>
            <w:vAlign w:val="center"/>
          </w:tcPr>
          <w:p>
            <w:pPr>
              <w:jc w:val="right"/>
              <w:bidi w:val="1"/>
              <w:bidi w:val="1"/>
            </w:pPr>
            <w:r/>
            <w:r>
              <w:rPr>
                <w:rFonts w:ascii="Noto Sans Arabic" w:hAnsi="Noto Sans Arabic" w:eastAsia="Noto Sans Arabic" w:cs="Noto Sans Arabic"/>
                <w:b/>
                <w:color w:val="FFFFFF"/>
                <w:sz w:val="15"/>
                <w:rtl w:val="1"/>
              </w:rPr>
              <w:t>ما يجب أن يعمل بدقة</w:t>
            </w:r>
          </w:p>
        </w:tc>
        <w:tc>
          <w:tcPr>
            <w:tcW w:type="dxa" w:w="3888"/>
            <w:shd w:fill="12304A"/>
            <w:bidiVisual w:val="1"/>
            <w:vAlign w:val="center"/>
          </w:tcPr>
          <w:p>
            <w:pPr>
              <w:jc w:val="right"/>
              <w:bidi w:val="1"/>
              <w:bidi w:val="1"/>
            </w:pPr>
            <w:r/>
            <w:r>
              <w:rPr>
                <w:rFonts w:ascii="Noto Sans Arabic" w:hAnsi="Noto Sans Arabic" w:eastAsia="Noto Sans Arabic" w:cs="Noto Sans Arabic"/>
                <w:b/>
                <w:color w:val="FFFFFF"/>
                <w:sz w:val="15"/>
                <w:rtl w:val="1"/>
              </w:rPr>
              <w:t>أخطاء التصميم التي يجب رفضها</w:t>
            </w:r>
          </w:p>
        </w:tc>
      </w:tr>
      <w:tr>
        <w:tc>
          <w:tcPr>
            <w:tcW w:type="dxa" w:w="18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مخطط الأسنان</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ترقيم معياري واضح، أسنان مفقودة/موجودة، أسطح، حالات، إجراءات سابقة وحالية، وتاريخ مؤلف كل تغيير.</w:t>
            </w:r>
          </w:p>
        </w:tc>
        <w:tc>
          <w:tcPr>
            <w:tcW w:type="dxa" w:w="38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الاعتماد على لون بلا نص، أو المصطلح العام «حالة السطح» دون إيضاح التشخيص/الإجراء.</w:t>
            </w:r>
          </w:p>
        </w:tc>
      </w:tr>
      <w:tr>
        <w:tc>
          <w:tcPr>
            <w:tcW w:type="dxa" w:w="18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خطة العلاج</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ترتيب الأولويات، البدائل، التكلفة، قبول المريض، ما اكتمل، وما تأجل أو ألغي ولماذا.</w:t>
            </w:r>
          </w:p>
        </w:tc>
        <w:tc>
          <w:tcPr>
            <w:tcW w:type="dxa" w:w="38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خلط المقترح بالإجراء المنفذ، أو تعديل سجل سابق دون نسخة تاريخية.</w:t>
            </w:r>
          </w:p>
        </w:tc>
      </w:tr>
      <w:tr>
        <w:tc>
          <w:tcPr>
            <w:tcW w:type="dxa" w:w="18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التوثيق الطبي</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تشخيص مستقل عن الإجراء؛ مادة الحشو أو نوع الترميم كجزء موثق من الإجراء؛ ملاحظات الطبيب والتاريخ.</w:t>
            </w:r>
          </w:p>
        </w:tc>
        <w:tc>
          <w:tcPr>
            <w:tcW w:type="dxa" w:w="38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استخدام «تسوس» كمرادف تلقائي لكل حشوة، أو اعتبار الشرخ والكسر والتآكل حالة واحدة.</w:t>
            </w:r>
          </w:p>
        </w:tc>
      </w:tr>
      <w:tr>
        <w:tc>
          <w:tcPr>
            <w:tcW w:type="dxa" w:w="187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التخصيص</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السماح للطبيب بعناوين عرض محلية مع بقاء الرمز الطبي المعياري والدلالة الأصلية محفوظين.</w:t>
            </w:r>
          </w:p>
        </w:tc>
        <w:tc>
          <w:tcPr>
            <w:tcW w:type="dxa" w:w="38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السماح لكل طبيب بتغيير التعريف الطبي المشترك بطريقة تقطع التقارير أو تبادل البيانات.</w:t>
            </w:r>
          </w:p>
        </w:tc>
      </w:tr>
      <w:tr>
        <w:tc>
          <w:tcPr>
            <w:tcW w:type="dxa" w:w="187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تعدد الفروع</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تاريخ واحد للمريض مع صلاحيات مستقلة، ونسبة كل زيارة وإجراء للطبيب والموقع الصحيح.</w:t>
            </w:r>
          </w:p>
        </w:tc>
        <w:tc>
          <w:tcPr>
            <w:tcW w:type="dxa" w:w="38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دمج حسابات الفروع أو إظهار معلومات سريرية خارج الصلاحية.</w:t>
            </w:r>
          </w:p>
        </w:tc>
      </w:tr>
    </w:tbl>
    <w:p>
      <w:pPr>
        <w:spacing w:after="20"/>
      </w:pPr>
    </w:p>
    <w:p>
      <w:pPr>
        <w:jc w:val="right"/>
        <w:bidi w:val="1"/>
      </w:pPr>
      <w:r>
        <w:rPr>
          <w:rFonts w:ascii="Noto Sans Arabic" w:hAnsi="Noto Sans Arabic" w:eastAsia="Noto Sans Arabic" w:cs="Noto Sans Arabic"/>
          <w:b w:val="0"/>
          <w:i w:val="0"/>
          <w:sz w:val="20"/>
          <w:rtl w:val="1"/>
        </w:rPr>
        <w:t>التوصية: افصل «المفهوم السريري المعياري» عن «النص الذي يظهر للطبيب». يمكن للطبيب تفضيل تسمية ظاهرة مختلفة، لكن النظام يحفظ الرمز والمعنى المعياري ونسخة قاموس المصطلحات وتاريخ التغيير. هذا يحمي تقارير الجودة والإحصاءات والتكامل مستقبلًا.</w:t>
      </w:r>
    </w:p>
    <w:p>
      <w:pPr>
        <w:pStyle w:val="Heading1"/>
        <w:jc w:val="right"/>
        <w:bidi w:val="1"/>
      </w:pPr>
      <w:r>
        <w:rPr>
          <w:rFonts w:ascii="Noto Sans Arabic" w:hAnsi="Noto Sans Arabic" w:eastAsia="Noto Sans Arabic" w:cs="Noto Sans Arabic"/>
          <w:b/>
          <w:color w:val="12304A"/>
          <w:sz w:val="36"/>
          <w:rtl w:val="1"/>
        </w:rPr>
        <w:t>5. أنظمة الصيدليات: التجزئة مقابل صيدلية المستشفى</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2304A"/>
            <w:bidiVisual w:val="1"/>
            <w:vAlign w:val="center"/>
          </w:tcPr>
          <w:p>
            <w:pPr>
              <w:jc w:val="right"/>
              <w:bidi w:val="1"/>
              <w:bidi w:val="1"/>
            </w:pPr>
            <w:r/>
            <w:r>
              <w:rPr>
                <w:rFonts w:ascii="Noto Sans Arabic" w:hAnsi="Noto Sans Arabic" w:eastAsia="Noto Sans Arabic" w:cs="Noto Sans Arabic"/>
                <w:b/>
                <w:color w:val="FFFFFF"/>
                <w:sz w:val="16"/>
                <w:rtl w:val="1"/>
              </w:rPr>
              <w:t>الفئة</w:t>
            </w:r>
          </w:p>
        </w:tc>
        <w:tc>
          <w:tcPr>
            <w:tcW w:type="dxa" w:w="3168"/>
            <w:shd w:fill="12304A"/>
            <w:bidiVisual w:val="1"/>
            <w:vAlign w:val="center"/>
          </w:tcPr>
          <w:p>
            <w:pPr>
              <w:jc w:val="right"/>
              <w:bidi w:val="1"/>
              <w:bidi w:val="1"/>
            </w:pPr>
            <w:r/>
            <w:r>
              <w:rPr>
                <w:rFonts w:ascii="Noto Sans Arabic" w:hAnsi="Noto Sans Arabic" w:eastAsia="Noto Sans Arabic" w:cs="Noto Sans Arabic"/>
                <w:b/>
                <w:color w:val="FFFFFF"/>
                <w:sz w:val="16"/>
                <w:rtl w:val="1"/>
              </w:rPr>
              <w:t>أمثلة مرجعية</w:t>
            </w:r>
          </w:p>
        </w:tc>
        <w:tc>
          <w:tcPr>
            <w:tcW w:type="dxa" w:w="5328"/>
            <w:shd w:fill="12304A"/>
            <w:bidiVisual w:val="1"/>
            <w:vAlign w:val="center"/>
          </w:tcPr>
          <w:p>
            <w:pPr>
              <w:jc w:val="right"/>
              <w:bidi w:val="1"/>
              <w:bidi w:val="1"/>
            </w:pPr>
            <w:r/>
            <w:r>
              <w:rPr>
                <w:rFonts w:ascii="Noto Sans Arabic" w:hAnsi="Noto Sans Arabic" w:eastAsia="Noto Sans Arabic" w:cs="Noto Sans Arabic"/>
                <w:b/>
                <w:color w:val="FFFFFF"/>
                <w:sz w:val="16"/>
                <w:rtl w:val="1"/>
              </w:rPr>
              <w:t>الوظائف الأساسية</w:t>
            </w:r>
          </w:p>
        </w:tc>
      </w:tr>
      <w:tr>
        <w:tc>
          <w:tcPr>
            <w:tcW w:type="dxa" w:w="172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صيدلية التجزئة</w:t>
            </w:r>
          </w:p>
        </w:tc>
        <w:tc>
          <w:tcPr>
            <w:tcW w:type="dxa" w:w="316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PioneerRx وBestRx، من الأنظمة المتخصصة المعروفة بالسوق الأمريكي. [5][6]</w:t>
            </w:r>
          </w:p>
        </w:tc>
        <w:tc>
          <w:tcPr>
            <w:tcW w:type="dxa" w:w="532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الوصفات، ملف دوائي للمريض، التنبيهات، الصرف والطباعة، المخزون والطلبات والموردون، التشغيلات والصلاحية، المرتجعات، المبيعات والذمم والتقارير.</w:t>
            </w:r>
          </w:p>
        </w:tc>
      </w:tr>
      <w:tr>
        <w:tc>
          <w:tcPr>
            <w:tcW w:type="dxa" w:w="172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صيدلية المستشفى</w:t>
            </w:r>
          </w:p>
        </w:tc>
        <w:tc>
          <w:tcPr>
            <w:tcW w:type="dxa" w:w="316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وحدات دوائية ضمن منصات مؤسسية مثل Epic/Oracle وحلول متخصصة متكاملة مع نظام المستشفى. [3][22]</w:t>
            </w:r>
          </w:p>
        </w:tc>
        <w:tc>
          <w:tcPr>
            <w:tcW w:type="dxa" w:w="532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6"/>
                <w:rtl w:val="1"/>
              </w:rPr>
              <w:t>صيدلية داخلية وخارجية، تدقيق العلاج، تحضير وصرف، إعطاء الدواء، خزائن صرف آلية، تتبع الدواء حتى المريض، وربط المضخات الذكية حيث ينطبق.</w:t>
            </w:r>
          </w:p>
        </w:tc>
      </w:tr>
      <w:tr>
        <w:tc>
          <w:tcPr>
            <w:tcW w:type="dxa" w:w="172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صيدلية سلسلة/مستودع</w:t>
            </w:r>
          </w:p>
        </w:tc>
        <w:tc>
          <w:tcPr>
            <w:tcW w:type="dxa" w:w="316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نظام متعدد المواقع مربوط بالمشتريات والتوزيع والتنبؤ والرقابة.</w:t>
            </w:r>
          </w:p>
        </w:tc>
        <w:tc>
          <w:tcPr>
            <w:tcW w:type="dxa" w:w="532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6"/>
                <w:rtl w:val="1"/>
              </w:rPr>
              <w:t>حدود المخزون حسب الفرع، نقل المخزون، إعادة الطلب، مراقبة الهدر والصلاحية، تتبع الدفعة والاستدعاءات ومؤشرات المبيعات.</w:t>
            </w:r>
          </w:p>
        </w:tc>
      </w:tr>
    </w:tbl>
    <w:p>
      <w:pPr>
        <w:spacing w:after="20"/>
      </w:pPr>
    </w:p>
    <w:p>
      <w:pPr>
        <w:pStyle w:val="Heading2"/>
        <w:jc w:val="right"/>
        <w:bidi w:val="1"/>
      </w:pPr>
      <w:r>
        <w:rPr>
          <w:rFonts w:ascii="Noto Sans Arabic" w:hAnsi="Noto Sans Arabic" w:eastAsia="Noto Sans Arabic" w:cs="Noto Sans Arabic"/>
          <w:b/>
          <w:color w:val="087E8B"/>
          <w:sz w:val="26"/>
          <w:rtl w:val="1"/>
        </w:rPr>
        <w:t>المراجعة الجراحية لوظائف الصيدلية</w:t>
      </w:r>
    </w:p>
    <w:p>
      <w:pPr>
        <w:pStyle w:val="ListBullet"/>
        <w:ind w:right="259" w:left="72"/>
        <w:jc w:val="right"/>
        <w:bidi w:val="1"/>
      </w:pPr>
      <w:r>
        <w:rPr>
          <w:rFonts w:ascii="Noto Sans Arabic" w:hAnsi="Noto Sans Arabic" w:eastAsia="Noto Sans Arabic" w:cs="Noto Sans Arabic"/>
          <w:sz w:val="19"/>
          <w:rtl w:val="1"/>
        </w:rPr>
        <w:t>الوصفة يجب أن تحفظ المادة الفعالة والتركيز والشكل والجرعة والطريق والتكرار والمدة والكمية وهوية الواصف، لا الاسم التجاري فقط.</w:t>
      </w:r>
    </w:p>
    <w:p>
      <w:pPr>
        <w:pStyle w:val="ListBullet"/>
        <w:ind w:right="259" w:left="72"/>
        <w:jc w:val="right"/>
        <w:bidi w:val="1"/>
      </w:pPr>
      <w:r>
        <w:rPr>
          <w:rFonts w:ascii="Noto Sans Arabic" w:hAnsi="Noto Sans Arabic" w:eastAsia="Noto Sans Arabic" w:cs="Noto Sans Arabic"/>
          <w:sz w:val="19"/>
          <w:rtl w:val="1"/>
        </w:rPr>
        <w:t>إظهار الحساسية والتكرار العلاجي والتداخلات وموانع الاستخدام بآلية تقلل الإنذارات غير المهمة؛ ويظل القرار السريري النهائي للمختص.</w:t>
      </w:r>
    </w:p>
    <w:p>
      <w:pPr>
        <w:pStyle w:val="ListBullet"/>
        <w:ind w:right="259" w:left="72"/>
        <w:jc w:val="right"/>
        <w:bidi w:val="1"/>
      </w:pPr>
      <w:r>
        <w:rPr>
          <w:rFonts w:ascii="Noto Sans Arabic" w:hAnsi="Noto Sans Arabic" w:eastAsia="Noto Sans Arabic" w:cs="Noto Sans Arabic"/>
          <w:sz w:val="19"/>
          <w:rtl w:val="1"/>
        </w:rPr>
        <w:t>إدارة الدفعة وتاريخ الصلاحية وموقع التخزين والمرتجعات والاستدعاءات والسجل الذي يحدد لمن صُرف المنتج ومتى.</w:t>
      </w:r>
    </w:p>
    <w:p>
      <w:pPr>
        <w:pStyle w:val="ListBullet"/>
        <w:ind w:right="259" w:left="72"/>
        <w:jc w:val="right"/>
        <w:bidi w:val="1"/>
      </w:pPr>
      <w:r>
        <w:rPr>
          <w:rFonts w:ascii="Noto Sans Arabic" w:hAnsi="Noto Sans Arabic" w:eastAsia="Noto Sans Arabic" w:cs="Noto Sans Arabic"/>
          <w:sz w:val="19"/>
          <w:rtl w:val="1"/>
        </w:rPr>
        <w:t>الربط بمصادر الأدوية والترميز الوطني والتغطيات التأمينية في البلد، مع بدائل دوائية مضبوطة وسياسة موافقة واضحة.</w:t>
      </w:r>
    </w:p>
    <w:p>
      <w:pPr>
        <w:pStyle w:val="ListBullet"/>
        <w:ind w:right="259" w:left="72"/>
        <w:jc w:val="right"/>
        <w:bidi w:val="1"/>
      </w:pPr>
      <w:r>
        <w:rPr>
          <w:rFonts w:ascii="Noto Sans Arabic" w:hAnsi="Noto Sans Arabic" w:eastAsia="Noto Sans Arabic" w:cs="Noto Sans Arabic"/>
          <w:sz w:val="19"/>
          <w:rtl w:val="1"/>
        </w:rPr>
        <w:t>تتبع الوصفة من الإنشاء إلى التدقيق والصرف والتسليم، وتحديد من عدّل أو ألغى أو صرف، ومنع التعديل الصامت بعد الإقفال.</w:t>
      </w:r>
    </w:p>
    <w:p>
      <w:pPr>
        <w:pStyle w:val="ListBullet"/>
        <w:ind w:right="259" w:left="72"/>
        <w:jc w:val="right"/>
        <w:bidi w:val="1"/>
      </w:pPr>
      <w:r>
        <w:rPr>
          <w:rFonts w:ascii="Noto Sans Arabic" w:hAnsi="Noto Sans Arabic" w:eastAsia="Noto Sans Arabic" w:cs="Noto Sans Arabic"/>
          <w:sz w:val="19"/>
          <w:rtl w:val="1"/>
        </w:rPr>
        <w:t>وجود وضع خاص للأدوية التي تتطلب رقابة، وفق تشريعات البلد وإجراءات الصيدلية، وتسجيل عمليات المخزون الحساسة.</w:t>
      </w:r>
    </w:p>
    <w:p>
      <w:pPr>
        <w:jc w:val="right"/>
        <w:bidi w:val="1"/>
      </w:pPr>
      <w:r>
        <w:rPr>
          <w:rFonts w:ascii="Noto Sans Arabic" w:hAnsi="Noto Sans Arabic" w:eastAsia="Noto Sans Arabic" w:cs="Noto Sans Arabic"/>
          <w:b w:val="0"/>
          <w:i w:val="0"/>
          <w:sz w:val="20"/>
          <w:rtl w:val="1"/>
        </w:rPr>
        <w:t>تحذير إقليمي: ميزات الفوترة والتأمين والرموز الدوائية في منتج مصمم لسوق واحد لا تُنقل تلقائيًا إلى الأردن أو الخليج. يجب بناء طبقة قواعد قابلة للتهيئة حسب البلد، وليس تثبيت قواعد الولايات المتحدة أو غيرها داخل منطق النظام الأساسي.</w:t>
      </w:r>
    </w:p>
    <w:p>
      <w:pPr>
        <w:pStyle w:val="Heading1"/>
        <w:jc w:val="right"/>
        <w:bidi w:val="1"/>
      </w:pPr>
      <w:r>
        <w:rPr>
          <w:rFonts w:ascii="Noto Sans Arabic" w:hAnsi="Noto Sans Arabic" w:eastAsia="Noto Sans Arabic" w:cs="Noto Sans Arabic"/>
          <w:b/>
          <w:color w:val="12304A"/>
          <w:sz w:val="36"/>
          <w:rtl w:val="1"/>
        </w:rPr>
        <w:t>6. المختبرات: LIS السريري مقابل LIMS</w:t>
      </w:r>
    </w:p>
    <w:p>
      <w:pPr>
        <w:jc w:val="right"/>
        <w:bidi w:val="1"/>
      </w:pPr>
      <w:r>
        <w:rPr>
          <w:rFonts w:ascii="Noto Sans Arabic" w:hAnsi="Noto Sans Arabic" w:eastAsia="Noto Sans Arabic" w:cs="Noto Sans Arabic"/>
          <w:b w:val="0"/>
          <w:i w:val="0"/>
          <w:sz w:val="20"/>
          <w:rtl w:val="1"/>
        </w:rPr>
        <w:t>LIS هو نظام تشغيل المختبر الطبي السريري؛ أما LIMS فيظهر كثيرًا في مختبرات الأبحاث والصناعة وضبط الجودة وإدارة العينات. قد تتقاطع المنتجات، لكنهما ليسا اسمين مترادفين دائمًا. STARLIMS مثال على منصة LIMS تركز على إدارة عمليات المختبر والبيانات. [7]</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2304A"/>
            <w:bidiVisual w:val="1"/>
            <w:vAlign w:val="center"/>
          </w:tcPr>
          <w:p>
            <w:pPr>
              <w:jc w:val="right"/>
              <w:bidi w:val="1"/>
              <w:bidi w:val="1"/>
            </w:pPr>
            <w:r/>
            <w:r>
              <w:rPr>
                <w:rFonts w:ascii="Noto Sans Arabic" w:hAnsi="Noto Sans Arabic" w:eastAsia="Noto Sans Arabic" w:cs="Noto Sans Arabic"/>
                <w:b/>
                <w:color w:val="FFFFFF"/>
                <w:sz w:val="15"/>
                <w:rtl w:val="1"/>
              </w:rPr>
              <w:t>المرحلة</w:t>
            </w:r>
          </w:p>
        </w:tc>
        <w:tc>
          <w:tcPr>
            <w:tcW w:type="dxa" w:w="4464"/>
            <w:shd w:fill="12304A"/>
            <w:bidiVisual w:val="1"/>
            <w:vAlign w:val="center"/>
          </w:tcPr>
          <w:p>
            <w:pPr>
              <w:jc w:val="right"/>
              <w:bidi w:val="1"/>
              <w:bidi w:val="1"/>
            </w:pPr>
            <w:r/>
            <w:r>
              <w:rPr>
                <w:rFonts w:ascii="Noto Sans Arabic" w:hAnsi="Noto Sans Arabic" w:eastAsia="Noto Sans Arabic" w:cs="Noto Sans Arabic"/>
                <w:b/>
                <w:color w:val="FFFFFF"/>
                <w:sz w:val="15"/>
                <w:rtl w:val="1"/>
              </w:rPr>
              <w:t>المتطلبات الدقيقة</w:t>
            </w:r>
          </w:p>
        </w:tc>
        <w:tc>
          <w:tcPr>
            <w:tcW w:type="dxa" w:w="4104"/>
            <w:shd w:fill="12304A"/>
            <w:bidiVisual w:val="1"/>
            <w:vAlign w:val="center"/>
          </w:tcPr>
          <w:p>
            <w:pPr>
              <w:jc w:val="right"/>
              <w:bidi w:val="1"/>
              <w:bidi w:val="1"/>
            </w:pPr>
            <w:r/>
            <w:r>
              <w:rPr>
                <w:rFonts w:ascii="Noto Sans Arabic" w:hAnsi="Noto Sans Arabic" w:eastAsia="Noto Sans Arabic" w:cs="Noto Sans Arabic"/>
                <w:b/>
                <w:color w:val="FFFFFF"/>
                <w:sz w:val="15"/>
                <w:rtl w:val="1"/>
              </w:rPr>
              <w:t>اختبار القبول</w:t>
            </w:r>
          </w:p>
        </w:tc>
      </w:tr>
      <w:tr>
        <w:tc>
          <w:tcPr>
            <w:tcW w:type="dxa" w:w="165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طلب الفحص</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ربط الطلب بالمريض والزيارة والطبيب والأولوية والعينة المطلوبة.</w:t>
            </w:r>
          </w:p>
        </w:tc>
        <w:tc>
          <w:tcPr>
            <w:tcW w:type="dxa" w:w="410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لا يمكن إنشاء نتيجة لمريض أو طلب غير صحيح دون تنبيه وصلاحية.</w:t>
            </w:r>
          </w:p>
        </w:tc>
      </w:tr>
      <w:tr>
        <w:tc>
          <w:tcPr>
            <w:tcW w:type="dxa" w:w="165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جمع العينة</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ملصق باركود فريد، نوع العينة، وقت ومكان الجمع، الجامع، ظروف النقل والرفض.</w:t>
            </w:r>
          </w:p>
        </w:tc>
        <w:tc>
          <w:tcPr>
            <w:tcW w:type="dxa" w:w="410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منع الملصقات المكررة؛ تسجيل سبب رفض العينة وإعادة طلبها.</w:t>
            </w:r>
          </w:p>
        </w:tc>
      </w:tr>
      <w:tr>
        <w:tc>
          <w:tcPr>
            <w:tcW w:type="dxa" w:w="165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التوزيع والتحليل</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قوائم عمل، واجهات أجهزة، معرفات أجهزة، وحدات القياس، نطاقات مرجعية حسب العمر والجنس والسياق.</w:t>
            </w:r>
          </w:p>
        </w:tc>
        <w:tc>
          <w:tcPr>
            <w:tcW w:type="dxa" w:w="410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مطابقة النتيجة مع العينة والطلب الصحيحين، ومراقبة نتائج غير معقولة أو خارج الضبط.</w:t>
            </w:r>
          </w:p>
        </w:tc>
      </w:tr>
      <w:tr>
        <w:tc>
          <w:tcPr>
            <w:tcW w:type="dxa" w:w="165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ضبط الجودة</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مواد مراقبة، قواعد QC، دفعات الكواشف، معايرة، صيانة، إدارة الانحرافات.</w:t>
            </w:r>
          </w:p>
        </w:tc>
        <w:tc>
          <w:tcPr>
            <w:tcW w:type="dxa" w:w="410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عدم اعتماد النتائج عندما تفشل ضوابط الجودة حسب السياسة.</w:t>
            </w:r>
          </w:p>
        </w:tc>
      </w:tr>
      <w:tr>
        <w:tc>
          <w:tcPr>
            <w:tcW w:type="dxa" w:w="165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الاعتماد والتواصل</w:t>
            </w:r>
          </w:p>
        </w:tc>
        <w:tc>
          <w:tcPr>
            <w:tcW w:type="dxa" w:w="446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مراجعة فنية وطبية، توقيع، إصدار وتصحيح النتيجة، تنبيه القيم الحرجة.</w:t>
            </w:r>
          </w:p>
        </w:tc>
        <w:tc>
          <w:tcPr>
            <w:tcW w:type="dxa" w:w="410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تسجيل من اعتمد ومتى؛ وصول التنبيه إلى مستلم محدد مع إقرار بالاستلام والتصعيد عند عدم الرد.</w:t>
            </w:r>
          </w:p>
        </w:tc>
      </w:tr>
      <w:tr>
        <w:tc>
          <w:tcPr>
            <w:tcW w:type="dxa" w:w="165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التشغيل والإدارة</w:t>
            </w:r>
          </w:p>
        </w:tc>
        <w:tc>
          <w:tcPr>
            <w:tcW w:type="dxa" w:w="446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زمن إنجاز الفحص، الاستخدام والحمولة، الاستهلاك، كلفة الفحص، الفوترة والتقارير.</w:t>
            </w:r>
          </w:p>
        </w:tc>
        <w:tc>
          <w:tcPr>
            <w:tcW w:type="dxa" w:w="410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إمكان استخراج تقرير مسار العينة كاملًا ومؤشرات التأخير والأخطاء.</w:t>
            </w:r>
          </w:p>
        </w:tc>
      </w:tr>
    </w:tbl>
    <w:p>
      <w:pPr>
        <w:spacing w:after="20"/>
      </w:pPr>
    </w:p>
    <w:p>
      <w:pPr>
        <w:jc w:val="right"/>
        <w:bidi w:val="1"/>
      </w:pPr>
      <w:r>
        <w:rPr>
          <w:rFonts w:ascii="Noto Sans Arabic" w:hAnsi="Noto Sans Arabic" w:eastAsia="Noto Sans Arabic" w:cs="Noto Sans Arabic"/>
          <w:b w:val="0"/>
          <w:i w:val="0"/>
          <w:sz w:val="20"/>
          <w:rtl w:val="1"/>
        </w:rPr>
        <w:t>ما يميز المختبر الممتاز ليس شاشة إدخال النتائج؛ بل سلسلة تتبع مغلقة من الطلب إلى العينة إلى الجهاز إلى ضبط الجودة إلى الاعتماد ثم إلى الطبيب. يجب أن يحدد العقد قائمة الأجهزة المدعومة ونسخ برامج التشغيل وبروتوكولات الواجهة ومسؤولية الصيانة؛ عبارة «يدعم التكامل» لا تكفي.</w:t>
      </w:r>
    </w:p>
    <w:p>
      <w:pPr>
        <w:pStyle w:val="Heading1"/>
        <w:jc w:val="right"/>
        <w:bidi w:val="1"/>
      </w:pPr>
      <w:r>
        <w:rPr>
          <w:rFonts w:ascii="Noto Sans Arabic" w:hAnsi="Noto Sans Arabic" w:eastAsia="Noto Sans Arabic" w:cs="Noto Sans Arabic"/>
          <w:b/>
          <w:color w:val="12304A"/>
          <w:sz w:val="36"/>
          <w:rtl w:val="1"/>
        </w:rPr>
        <w:t>7. الأشعة: RIS وPACS وVNA</w:t>
      </w:r>
    </w:p>
    <w:p>
      <w:pPr>
        <w:jc w:val="right"/>
        <w:bidi w:val="1"/>
      </w:pPr>
      <w:r>
        <w:rPr>
          <w:rFonts w:ascii="Noto Sans Arabic" w:hAnsi="Noto Sans Arabic" w:eastAsia="Noto Sans Arabic" w:cs="Noto Sans Arabic"/>
          <w:b w:val="0"/>
          <w:i w:val="0"/>
          <w:sz w:val="20"/>
          <w:rtl w:val="1"/>
        </w:rPr>
        <w:t>RIS يدير العمل: الحجز، تسجيل الوصول والتحضير، البروتوكول، سير الطلب، توزيع العمل والتقارير. PACS يحفظ الصور الطبية ويعرضها ويتيح الوصول إليها. أما VNA فهو أرشيف محايد للمورد يمكن أن يجمع محتوى تصوير مؤسسيًا على نطاق أوسع. Philips توثق سيرًا من الجدولة والتسجيل إلى البروتوكول والتوثيق وتوزيع النتائج، وتوثق Sectra منصة تصوير مؤسسية تتجاوز الأشعة إلى صور وفيديوهات طبية أخرى؛ كما تقدم AGFA حلول Enterprise Imaging. [8][9][23]</w:t>
      </w:r>
    </w:p>
    <w:p>
      <w:pPr>
        <w:pStyle w:val="ListBullet"/>
        <w:ind w:right="259" w:left="72"/>
        <w:jc w:val="right"/>
        <w:bidi w:val="1"/>
      </w:pPr>
      <w:r>
        <w:rPr>
          <w:rFonts w:ascii="Noto Sans Arabic" w:hAnsi="Noto Sans Arabic" w:eastAsia="Noto Sans Arabic" w:cs="Noto Sans Arabic"/>
          <w:sz w:val="19"/>
          <w:rtl w:val="1"/>
        </w:rPr>
        <w:t>دعم DICOM، وقوائم عمل الأجهزة، وربط معرف المريض ورقم الطلب بالجهاز الصحيح، وإرجاع الدراسة إلى ملف المريض الصحيح.</w:t>
      </w:r>
    </w:p>
    <w:p>
      <w:pPr>
        <w:pStyle w:val="ListBullet"/>
        <w:ind w:right="259" w:left="72"/>
        <w:jc w:val="right"/>
        <w:bidi w:val="1"/>
      </w:pPr>
      <w:r>
        <w:rPr>
          <w:rFonts w:ascii="Noto Sans Arabic" w:hAnsi="Noto Sans Arabic" w:eastAsia="Noto Sans Arabic" w:cs="Noto Sans Arabic"/>
          <w:sz w:val="19"/>
          <w:rtl w:val="1"/>
        </w:rPr>
        <w:t>مشاهد متخصصة للـ CT وMRI وX-ray وUltrasound والثدي وغيرها، وأدوات القياس والمقارنة مع الدراسات السابقة عندما تدعمها المنصة.</w:t>
      </w:r>
    </w:p>
    <w:p>
      <w:pPr>
        <w:pStyle w:val="ListBullet"/>
        <w:ind w:right="259" w:left="72"/>
        <w:jc w:val="right"/>
        <w:bidi w:val="1"/>
      </w:pPr>
      <w:r>
        <w:rPr>
          <w:rFonts w:ascii="Noto Sans Arabic" w:hAnsi="Noto Sans Arabic" w:eastAsia="Noto Sans Arabic" w:cs="Noto Sans Arabic"/>
          <w:sz w:val="19"/>
          <w:rtl w:val="1"/>
        </w:rPr>
        <w:t>توزيع قوائم العمل على اختصاصيي الأشعة، الأولويات، القراءة عن بُعد وفق الصلاحيات، قوالب التقارير، اعتماد التقرير وتصحيحه.</w:t>
      </w:r>
    </w:p>
    <w:p>
      <w:pPr>
        <w:pStyle w:val="ListBullet"/>
        <w:ind w:right="259" w:left="72"/>
        <w:jc w:val="right"/>
        <w:bidi w:val="1"/>
      </w:pPr>
      <w:r>
        <w:rPr>
          <w:rFonts w:ascii="Noto Sans Arabic" w:hAnsi="Noto Sans Arabic" w:eastAsia="Noto Sans Arabic" w:cs="Noto Sans Arabic"/>
          <w:sz w:val="19"/>
          <w:rtl w:val="1"/>
        </w:rPr>
        <w:t>أرشفة طويلة الأمد، سياسة احتفاظ، نسخ احتياطي، تعافي من الكوارث، اختبار سلامة البيانات، ومراقبة زمن تحميل الدراسات.</w:t>
      </w:r>
    </w:p>
    <w:p>
      <w:pPr>
        <w:pStyle w:val="ListBullet"/>
        <w:ind w:right="259" w:left="72"/>
        <w:jc w:val="right"/>
        <w:bidi w:val="1"/>
      </w:pPr>
      <w:r>
        <w:rPr>
          <w:rFonts w:ascii="Noto Sans Arabic" w:hAnsi="Noto Sans Arabic" w:eastAsia="Noto Sans Arabic" w:cs="Noto Sans Arabic"/>
          <w:sz w:val="19"/>
          <w:rtl w:val="1"/>
        </w:rPr>
        <w:t>دعم الصور غير الشعاعية عند الحاجة مثل علم الأمراض، وربطها بطبقات تخزين وفهرسة موحدة بدل إنشاء مخازن منعزلة.</w:t>
      </w:r>
    </w:p>
    <w:p>
      <w:pPr>
        <w:pStyle w:val="ListBullet"/>
        <w:ind w:right="259" w:left="72"/>
        <w:jc w:val="right"/>
        <w:bidi w:val="1"/>
      </w:pPr>
      <w:r>
        <w:rPr>
          <w:rFonts w:ascii="Noto Sans Arabic" w:hAnsi="Noto Sans Arabic" w:eastAsia="Noto Sans Arabic" w:cs="Noto Sans Arabic"/>
          <w:sz w:val="19"/>
          <w:rtl w:val="1"/>
        </w:rPr>
        <w:t>إمكانية مشاركة التقرير والصورة بأمان مع الطبيب المحوِّل أو المريض بحسب سياسة المنشأة، دون روابط عامة دائمة.</w:t>
      </w:r>
    </w:p>
    <w:p>
      <w:pPr>
        <w:jc w:val="right"/>
        <w:bidi w:val="1"/>
      </w:pPr>
      <w:r>
        <w:rPr>
          <w:rFonts w:ascii="Noto Sans Arabic" w:hAnsi="Noto Sans Arabic" w:eastAsia="Noto Sans Arabic" w:cs="Noto Sans Arabic"/>
          <w:b w:val="0"/>
          <w:i w:val="0"/>
          <w:sz w:val="20"/>
          <w:rtl w:val="1"/>
        </w:rPr>
        <w:t>القرار لا يُبنى على مظهر عارض الصور فقط. اختبر حجم بيانات حقيقيًا، وسرعة فتح الدراسة، ودقة العرض، وعمليات المقارنة، وعدد المستخدمين المتزامنين، وتكلفة التخزين لخمس إلى عشر سنوات، وطريقة إخراج الصور كاملة عند تغيير المورد.</w:t>
      </w:r>
    </w:p>
    <w:p>
      <w:pPr>
        <w:pStyle w:val="Heading1"/>
        <w:jc w:val="right"/>
        <w:bidi w:val="1"/>
      </w:pPr>
      <w:r>
        <w:rPr>
          <w:rFonts w:ascii="Noto Sans Arabic" w:hAnsi="Noto Sans Arabic" w:eastAsia="Noto Sans Arabic" w:cs="Noto Sans Arabic"/>
          <w:b/>
          <w:color w:val="12304A"/>
          <w:sz w:val="36"/>
          <w:rtl w:val="1"/>
        </w:rPr>
        <w:t>8. التكامل: الجزء الذي يصنع الفارق</w:t>
      </w:r>
    </w:p>
    <w:p>
      <w:pPr>
        <w:jc w:val="right"/>
        <w:bidi w:val="1"/>
      </w:pPr>
      <w:r>
        <w:rPr>
          <w:rFonts w:ascii="Noto Sans Arabic" w:hAnsi="Noto Sans Arabic" w:eastAsia="Noto Sans Arabic" w:cs="Noto Sans Arabic"/>
          <w:b w:val="0"/>
          <w:i w:val="0"/>
          <w:sz w:val="20"/>
          <w:rtl w:val="1"/>
        </w:rPr>
        <w:t>التكامل الصحي ليس مجرد وجود API؛ يجب أن تكون البيانات مفهومة ومتوافقة سريريًا، وأن تسير المعاملة في الاتجاهين عند الحاجة، وأن تُكتشف الرسائل المفقودة أو المكررة، وأن يُعرف مصدر المعلومة ووقتها وحالتها. FHIR معيار لتبادل البيانات الصحية بهيكل موارد، وIHE يحدد ملفات تنفيذ تنسق استخدام معايير مثل HL7 وDICOM لحالات استخدام واقعية. [10][11]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304A"/>
            <w:bidiVisual w:val="1"/>
            <w:vAlign w:val="center"/>
          </w:tcPr>
          <w:p>
            <w:pPr>
              <w:jc w:val="right"/>
              <w:bidi w:val="1"/>
              <w:bidi w:val="1"/>
            </w:pPr>
            <w:r/>
            <w:r>
              <w:rPr>
                <w:rFonts w:ascii="Noto Sans Arabic" w:hAnsi="Noto Sans Arabic" w:eastAsia="Noto Sans Arabic" w:cs="Noto Sans Arabic"/>
                <w:b/>
                <w:color w:val="FFFFFF"/>
                <w:sz w:val="15"/>
                <w:rtl w:val="1"/>
              </w:rPr>
              <w:t>المعيار أو الأداة</w:t>
            </w:r>
          </w:p>
        </w:tc>
        <w:tc>
          <w:tcPr>
            <w:tcW w:type="dxa" w:w="4032"/>
            <w:shd w:fill="12304A"/>
            <w:bidiVisual w:val="1"/>
            <w:vAlign w:val="center"/>
          </w:tcPr>
          <w:p>
            <w:pPr>
              <w:jc w:val="right"/>
              <w:bidi w:val="1"/>
              <w:bidi w:val="1"/>
            </w:pPr>
            <w:r/>
            <w:r>
              <w:rPr>
                <w:rFonts w:ascii="Noto Sans Arabic" w:hAnsi="Noto Sans Arabic" w:eastAsia="Noto Sans Arabic" w:cs="Noto Sans Arabic"/>
                <w:b/>
                <w:color w:val="FFFFFF"/>
                <w:sz w:val="15"/>
                <w:rtl w:val="1"/>
              </w:rPr>
              <w:t>الدور</w:t>
            </w:r>
          </w:p>
        </w:tc>
        <w:tc>
          <w:tcPr>
            <w:tcW w:type="dxa" w:w="4248"/>
            <w:shd w:fill="12304A"/>
            <w:bidiVisual w:val="1"/>
            <w:vAlign w:val="center"/>
          </w:tcPr>
          <w:p>
            <w:pPr>
              <w:jc w:val="right"/>
              <w:bidi w:val="1"/>
              <w:bidi w:val="1"/>
            </w:pPr>
            <w:r/>
            <w:r>
              <w:rPr>
                <w:rFonts w:ascii="Noto Sans Arabic" w:hAnsi="Noto Sans Arabic" w:eastAsia="Noto Sans Arabic" w:cs="Noto Sans Arabic"/>
                <w:b/>
                <w:color w:val="FFFFFF"/>
                <w:sz w:val="15"/>
                <w:rtl w:val="1"/>
              </w:rPr>
              <w:t>ما لا يضمنه وحده</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HL7 v2</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تبادل رسائل مؤسسية تقليدية، مثل تسجيل المريض والأوامر والنتائج.</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لا يضمن وحده اتساق المعنى بين المؤسسات أو جودة البيانات.</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FHIR (مثل R4)</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واجهات موارد حديثة لتبادل بيانات المرضى والملاحظات والأوامر والنتائج والمطالبات وغيرها.</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وجود FHIR API لا يعني التوافق تلقائيًا؛ يلزم ملف تطبيقي محلي، وقواميس ومصادقة واختبارات.</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DICOM</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تنظيم وتبادل الصور الطبية وبياناتها الوصفية بين الأجهزة والأنظمة.</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لا يغطي وحده كل سير العمل الإداري أو السجل السريري الكامل.</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IHE Profiles</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قواعد عملية لاستخدام المعايير معًا في سير عمل محدد.</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لا يعوض عن تعريف المسؤوليات والأدوار والصلاحيات واتفاقيات البيانات.</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القواميس السريرية</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توحد معنى التشخيصات والفحوصات والأدوية والوحدات والإجراءات.</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مجرد تخزين رمز لا يثبت صحة التشخيص أو ملاءمة الرمز محليًا.</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Integration Engine</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توجيه الرسائل، التحويل المراقب، إعادة المحاولة، المراقبة وسجل الأخطاء.</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لا ينبغي أن يتحول إلى منطق سريري خفي أو نقطة تعطل وحيدة.</w:t>
            </w:r>
          </w:p>
        </w:tc>
      </w:tr>
    </w:tbl>
    <w:p>
      <w:pPr>
        <w:spacing w:after="20"/>
      </w:pPr>
    </w:p>
    <w:p>
      <w:pPr>
        <w:pStyle w:val="Heading2"/>
        <w:jc w:val="right"/>
        <w:bidi w:val="1"/>
      </w:pPr>
      <w:r>
        <w:rPr>
          <w:rFonts w:ascii="Noto Sans Arabic" w:hAnsi="Noto Sans Arabic" w:eastAsia="Noto Sans Arabic" w:cs="Noto Sans Arabic"/>
          <w:b/>
          <w:color w:val="087E8B"/>
          <w:sz w:val="26"/>
          <w:rtl w:val="1"/>
        </w:rPr>
        <w:t>قواميس ومحددات يجب حسمها مبكرًا</w:t>
      </w:r>
    </w:p>
    <w:p>
      <w:pPr>
        <w:pStyle w:val="ListBullet"/>
        <w:ind w:right="259" w:left="72"/>
        <w:jc w:val="right"/>
        <w:bidi w:val="1"/>
      </w:pPr>
      <w:r>
        <w:rPr>
          <w:rFonts w:ascii="Noto Sans Arabic" w:hAnsi="Noto Sans Arabic" w:eastAsia="Noto Sans Arabic" w:cs="Noto Sans Arabic"/>
          <w:sz w:val="19"/>
          <w:rtl w:val="1"/>
        </w:rPr>
        <w:t>هوية المريض: معرف وطني عند السماح القانوني، مع معرف المنشأة وسجل ربط الهويات وتدفق عمل لحسم التعارضات.</w:t>
      </w:r>
    </w:p>
    <w:p>
      <w:pPr>
        <w:pStyle w:val="ListBullet"/>
        <w:ind w:right="259" w:left="72"/>
        <w:jc w:val="right"/>
        <w:bidi w:val="1"/>
      </w:pPr>
      <w:r>
        <w:rPr>
          <w:rFonts w:ascii="Noto Sans Arabic" w:hAnsi="Noto Sans Arabic" w:eastAsia="Noto Sans Arabic" w:cs="Noto Sans Arabic"/>
          <w:sz w:val="19"/>
          <w:rtl w:val="1"/>
        </w:rPr>
        <w:t>التشخيص والإجراء: اعتماد قاموس مناسب مثل ICD للتصنيف والفوترة، ومصطلحات سريرية أكثر تفصيلًا عندما يلزم تبادل سريري دقيق.</w:t>
      </w:r>
    </w:p>
    <w:p>
      <w:pPr>
        <w:pStyle w:val="ListBullet"/>
        <w:ind w:right="259" w:left="72"/>
        <w:jc w:val="right"/>
        <w:bidi w:val="1"/>
      </w:pPr>
      <w:r>
        <w:rPr>
          <w:rFonts w:ascii="Noto Sans Arabic" w:hAnsi="Noto Sans Arabic" w:eastAsia="Noto Sans Arabic" w:cs="Noto Sans Arabic"/>
          <w:sz w:val="19"/>
          <w:rtl w:val="1"/>
        </w:rPr>
        <w:t>المختبر: مفردات موحدة للفحوصات، والوحدات المرجعية، ونوع العينة والنتيجة؛ فلا يجوز اعتبار نصين متشابهين الفحص نفسه تلقائيًا.</w:t>
      </w:r>
    </w:p>
    <w:p>
      <w:pPr>
        <w:pStyle w:val="ListBullet"/>
        <w:ind w:right="259" w:left="72"/>
        <w:jc w:val="right"/>
        <w:bidi w:val="1"/>
      </w:pPr>
      <w:r>
        <w:rPr>
          <w:rFonts w:ascii="Noto Sans Arabic" w:hAnsi="Noto Sans Arabic" w:eastAsia="Noto Sans Arabic" w:cs="Noto Sans Arabic"/>
          <w:sz w:val="19"/>
          <w:rtl w:val="1"/>
        </w:rPr>
        <w:t>الأدوية: المادة الفعالة والتركيز والشكل والطريق والجرعة ووحدات القياس، مع قاموس محلي للأسماء التجارية والمستحضرات.</w:t>
      </w:r>
    </w:p>
    <w:p>
      <w:pPr>
        <w:pStyle w:val="ListBullet"/>
        <w:ind w:right="259" w:left="72"/>
        <w:jc w:val="right"/>
        <w:bidi w:val="1"/>
      </w:pPr>
      <w:r>
        <w:rPr>
          <w:rFonts w:ascii="Noto Sans Arabic" w:hAnsi="Noto Sans Arabic" w:eastAsia="Noto Sans Arabic" w:cs="Noto Sans Arabic"/>
          <w:sz w:val="19"/>
          <w:rtl w:val="1"/>
        </w:rPr>
        <w:t>اللغة: العربية والإنجليزية مع فصل التسمية المترجمة عن الرمز المعياري، ودعم اتجاه الكتابة ومطابقة أسماء الأشخاص دون تخريب الاسم الأصلي.</w:t>
      </w:r>
    </w:p>
    <w:p>
      <w:pPr>
        <w:pStyle w:val="Heading1"/>
        <w:jc w:val="right"/>
        <w:bidi w:val="1"/>
      </w:pPr>
      <w:r>
        <w:rPr>
          <w:rFonts w:ascii="Noto Sans Arabic" w:hAnsi="Noto Sans Arabic" w:eastAsia="Noto Sans Arabic" w:cs="Noto Sans Arabic"/>
          <w:b/>
          <w:color w:val="12304A"/>
          <w:sz w:val="36"/>
          <w:rtl w:val="1"/>
        </w:rPr>
        <w:t>9. ما الذي يثبت أن النظام يعمل؟ مؤشرات اختبار لا وعود تسويقية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2304A"/>
            <w:bidiVisual w:val="1"/>
            <w:vAlign w:val="center"/>
          </w:tcPr>
          <w:p>
            <w:pPr>
              <w:jc w:val="right"/>
              <w:bidi w:val="1"/>
              <w:bidi w:val="1"/>
            </w:pPr>
            <w:r/>
            <w:r>
              <w:rPr>
                <w:rFonts w:ascii="Noto Sans Arabic" w:hAnsi="Noto Sans Arabic" w:eastAsia="Noto Sans Arabic" w:cs="Noto Sans Arabic"/>
                <w:b/>
                <w:color w:val="FFFFFF"/>
                <w:sz w:val="15"/>
                <w:rtl w:val="1"/>
              </w:rPr>
              <w:t>المجال</w:t>
            </w:r>
          </w:p>
        </w:tc>
        <w:tc>
          <w:tcPr>
            <w:tcW w:type="dxa" w:w="4032"/>
            <w:shd w:fill="12304A"/>
            <w:bidiVisual w:val="1"/>
            <w:vAlign w:val="center"/>
          </w:tcPr>
          <w:p>
            <w:pPr>
              <w:jc w:val="right"/>
              <w:bidi w:val="1"/>
              <w:bidi w:val="1"/>
            </w:pPr>
            <w:r/>
            <w:r>
              <w:rPr>
                <w:rFonts w:ascii="Noto Sans Arabic" w:hAnsi="Noto Sans Arabic" w:eastAsia="Noto Sans Arabic" w:cs="Noto Sans Arabic"/>
                <w:b/>
                <w:color w:val="FFFFFF"/>
                <w:sz w:val="15"/>
                <w:rtl w:val="1"/>
              </w:rPr>
              <w:t>مؤشرات قابلة للقياس</w:t>
            </w:r>
          </w:p>
        </w:tc>
        <w:tc>
          <w:tcPr>
            <w:tcW w:type="dxa" w:w="4392"/>
            <w:shd w:fill="12304A"/>
            <w:bidiVisual w:val="1"/>
            <w:vAlign w:val="center"/>
          </w:tcPr>
          <w:p>
            <w:pPr>
              <w:jc w:val="right"/>
              <w:bidi w:val="1"/>
              <w:bidi w:val="1"/>
            </w:pPr>
            <w:r/>
            <w:r>
              <w:rPr>
                <w:rFonts w:ascii="Noto Sans Arabic" w:hAnsi="Noto Sans Arabic" w:eastAsia="Noto Sans Arabic" w:cs="Noto Sans Arabic"/>
                <w:b/>
                <w:color w:val="FFFFFF"/>
                <w:sz w:val="15"/>
                <w:rtl w:val="1"/>
              </w:rPr>
              <w:t>حالات فشل يجب محاكاتها</w:t>
            </w:r>
          </w:p>
        </w:tc>
      </w:tr>
      <w:tr>
        <w:tc>
          <w:tcPr>
            <w:tcW w:type="dxa" w:w="18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هوية المريض</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معدل السجلات المكررة، حالات الدمج الخاطئ، نسبة المطابقات التي تحتاج مراجعة.</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اسم رباعي مكرر، خطأ بحرف، رقم وطني غير موجود، طفل وولي أمر، جنسية/لغة مختلفة.</w:t>
            </w:r>
          </w:p>
        </w:tc>
      </w:tr>
      <w:tr>
        <w:tc>
          <w:tcPr>
            <w:tcW w:type="dxa" w:w="18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السلامة السريرية</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حساسية غير مفقودة، مراجعة دوائية، نتائج حرجة مؤكدة الاستلام، اكتمال التوثيق.</w:t>
            </w:r>
          </w:p>
        </w:tc>
        <w:tc>
          <w:tcPr>
            <w:tcW w:type="dxa" w:w="439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انقطاع الشبكة أثناء توثيق أمر، حساسية مضافة بالتزامن، نتيجة تصل بعد إلغاء الطلب.</w:t>
            </w:r>
          </w:p>
        </w:tc>
      </w:tr>
      <w:tr>
        <w:tc>
          <w:tcPr>
            <w:tcW w:type="dxa" w:w="18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المواعيد والتشغيل</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وقت الانتظار، عدم الحضور، استخدام الغرف، وقت إنجاز الزيارة.</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حجز متزامن، تغيير طبيب أو فرع، وصول مبكر، إلغاء بعد تذكير آلي.</w:t>
            </w:r>
          </w:p>
        </w:tc>
      </w:tr>
      <w:tr>
        <w:tc>
          <w:tcPr>
            <w:tcW w:type="dxa" w:w="18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المختبر والأشعة</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زمن الإنجاز، العينات المرفوضة، إعادة الفحص، زمن التقرير، زمن فتح الصور.</w:t>
            </w:r>
          </w:p>
        </w:tc>
        <w:tc>
          <w:tcPr>
            <w:tcW w:type="dxa" w:w="439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عينة بمعرف مكرر، فشل واجهة جهاز، فشل اعتماد QC، دراسة أشعة وصلت دون طلب.</w:t>
            </w:r>
          </w:p>
        </w:tc>
      </w:tr>
      <w:tr>
        <w:tc>
          <w:tcPr>
            <w:tcW w:type="dxa" w:w="18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الدواء والمخزون</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نفاد المخزون، الهدر لانتهاء الصلاحية، الأخطاء، اكتمال تتبع الدفعات.</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سحب دفعة، صرف كمية جزئية، مرتجع، دواء غير متاح، اختلاف اسم تجاري عن المادة.</w:t>
            </w:r>
          </w:p>
        </w:tc>
      </w:tr>
      <w:tr>
        <w:tc>
          <w:tcPr>
            <w:tcW w:type="dxa" w:w="18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التأمين والإيرادات</w:t>
            </w:r>
          </w:p>
        </w:tc>
        <w:tc>
          <w:tcPr>
            <w:tcW w:type="dxa" w:w="403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نسبة رفض المطالبات وأسبابها، زمن الموافقة والتحصيل، فرق السعر بين الخدمة والفاتورة.</w:t>
            </w:r>
          </w:p>
        </w:tc>
        <w:tc>
          <w:tcPr>
            <w:tcW w:type="dxa" w:w="4392"/>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موافقة انتهت، رمز غير مقبول محليًا، إلغاء إجراء بعد إرساله للمطالبة.</w:t>
            </w:r>
          </w:p>
        </w:tc>
      </w:tr>
      <w:tr>
        <w:tc>
          <w:tcPr>
            <w:tcW w:type="dxa" w:w="18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الأمن والاعتمادية</w:t>
            </w:r>
          </w:p>
        </w:tc>
        <w:tc>
          <w:tcPr>
            <w:tcW w:type="dxa" w:w="403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نجاح الاستعادة من النسخة الاحتياطية، زمن التعافي، محاولات الوصول المرفوضة، مراجعة الصلاحيات.</w:t>
            </w:r>
          </w:p>
        </w:tc>
        <w:tc>
          <w:tcPr>
            <w:tcW w:type="dxa" w:w="4392"/>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سرقة جلسة، حساب موظف غادر، اتصال إنترنت منقطع، استعادة نسخة قديمة، تسريب من تقرير.</w:t>
            </w:r>
          </w:p>
        </w:tc>
      </w:tr>
    </w:tbl>
    <w:p>
      <w:pPr>
        <w:spacing w:after="20"/>
      </w:pPr>
    </w:p>
    <w:p>
      <w:pPr>
        <w:jc w:val="right"/>
        <w:bidi w:val="1"/>
      </w:pPr>
      <w:r>
        <w:rPr>
          <w:rFonts w:ascii="Noto Sans Arabic" w:hAnsi="Noto Sans Arabic" w:eastAsia="Noto Sans Arabic" w:cs="Noto Sans Arabic"/>
          <w:b w:val="0"/>
          <w:i w:val="0"/>
          <w:sz w:val="20"/>
          <w:rtl w:val="1"/>
        </w:rPr>
        <w:t>ضع خط أساس قبل الإطلاق، ثم حدد أهدافًا قابلة للقياس لكل منشأة. لا أضع هنا نسب نجاح موحدة؛ فالمعيار الواقعي يختلف بين عيادة صغيرة ومستشفى مرجعي. الأهم أن تكون المقاييس محددة ومراقبة ويمكن تتبع كل حادثة إلى سببها.</w:t>
      </w:r>
    </w:p>
    <w:p>
      <w:pPr>
        <w:pStyle w:val="Heading1"/>
        <w:jc w:val="right"/>
        <w:bidi w:val="1"/>
      </w:pPr>
      <w:r>
        <w:rPr>
          <w:rFonts w:ascii="Noto Sans Arabic" w:hAnsi="Noto Sans Arabic" w:eastAsia="Noto Sans Arabic" w:cs="Noto Sans Arabic"/>
          <w:b/>
          <w:color w:val="12304A"/>
          <w:sz w:val="36"/>
          <w:rtl w:val="1"/>
        </w:rPr>
        <w:t>10. هل ستعمل هذه الأنظمة في الأردن والشرق الأوسط والعالم؟</w:t>
      </w:r>
    </w:p>
    <w:p>
      <w:pPr>
        <w:pStyle w:val="Heading2"/>
        <w:jc w:val="right"/>
        <w:bidi w:val="1"/>
      </w:pPr>
      <w:r>
        <w:rPr>
          <w:rFonts w:ascii="Noto Sans Arabic" w:hAnsi="Noto Sans Arabic" w:eastAsia="Noto Sans Arabic" w:cs="Noto Sans Arabic"/>
          <w:b/>
          <w:color w:val="087E8B"/>
          <w:sz w:val="26"/>
          <w:rtl w:val="1"/>
        </w:rPr>
        <w:t>الأردن</w:t>
      </w:r>
    </w:p>
    <w:p>
      <w:pPr>
        <w:jc w:val="right"/>
        <w:bidi w:val="1"/>
      </w:pPr>
      <w:r>
        <w:rPr>
          <w:rFonts w:ascii="Noto Sans Arabic" w:hAnsi="Noto Sans Arabic" w:eastAsia="Noto Sans Arabic" w:cs="Noto Sans Arabic"/>
          <w:b w:val="0"/>
          <w:i w:val="0"/>
          <w:sz w:val="20"/>
          <w:rtl w:val="1"/>
        </w:rPr>
        <w:t>برنامج حكيم هو مبادرة وطنية للسجل الصحي الإلكتروني بدأت عام 2009، وتذكر الجهة المشغلة أن الممارسين في المنشآت المشاركة يستطيعون الوصول إلى مجموعات من التاريخ الطبي والجراحي والزيارات والأدوية والحساسية بحسب الصلاحيات والتطبيق. كما تنشر حكيم حزمًا تشمل السجل السريري والصيدلة والمختبرات وتكامل الأجهزة. وفي يوليو 2026 أعلنت الجهة عن 482 منشأة متصلة. [13][14][24]</w:t>
      </w:r>
    </w:p>
    <w:p>
      <w:pPr>
        <w:jc w:val="right"/>
        <w:bidi w:val="1"/>
      </w:pPr>
      <w:r>
        <w:rPr>
          <w:rFonts w:ascii="Noto Sans Arabic" w:hAnsi="Noto Sans Arabic" w:eastAsia="Noto Sans Arabic" w:cs="Noto Sans Arabic"/>
          <w:b w:val="0"/>
          <w:i w:val="0"/>
          <w:sz w:val="20"/>
          <w:rtl w:val="1"/>
        </w:rPr>
        <w:t>النتيجة العملية: أي منتج يريد العمل بجانب حكيم أو معه يحتاج مسار تكامل رسميًا ومعتمدًا، وتحديدًا مكتوبًا لما يمكن تبادله؛ لا تفترض أن الربط متاح لكل شركة خاصة تلقائيًا. يجب مراجعة قانون حماية البيانات الشخصية الأردني رقم 24 لسنة 2023 ومتطلبات التطبيق ذات الصلة قبل تحديد الاستضافة والمشاركة والاحتفاظ والصلاحيات. [12]</w:t>
      </w:r>
    </w:p>
    <w:p>
      <w:pPr>
        <w:pStyle w:val="Heading2"/>
        <w:jc w:val="right"/>
        <w:bidi w:val="1"/>
      </w:pPr>
      <w:r>
        <w:rPr>
          <w:rFonts w:ascii="Noto Sans Arabic" w:hAnsi="Noto Sans Arabic" w:eastAsia="Noto Sans Arabic" w:cs="Noto Sans Arabic"/>
          <w:b/>
          <w:color w:val="087E8B"/>
          <w:sz w:val="26"/>
          <w:rtl w:val="1"/>
        </w:rPr>
        <w:t>الخليج</w:t>
      </w:r>
    </w:p>
    <w:p>
      <w:pPr>
        <w:jc w:val="right"/>
        <w:bidi w:val="1"/>
      </w:pPr>
      <w:r>
        <w:rPr>
          <w:rFonts w:ascii="Noto Sans Arabic" w:hAnsi="Noto Sans Arabic" w:eastAsia="Noto Sans Arabic" w:cs="Noto Sans Arabic"/>
          <w:b w:val="0"/>
          <w:i w:val="0"/>
          <w:sz w:val="20"/>
          <w:rtl w:val="1"/>
        </w:rPr>
        <w:t>أبوظبي: ملفي هو منصة تبادل معلومات صحية تربط مقدمي الرعاية العام والخاص وتعرض عناصر مثل الزيارات والتشخيصات والأدوية والنتائج والتقارير والصور وفق نطاقات البيانات المتاحة. [15][16] دبي: نابض منصة لتبادل المعلومات الصحية على مستوى الإمارة. [17] السعودية: نفيس منصة تبادل وطنية لمطالبات التأمين والمعلومات المرتبطة بها، وتوثق مواصفاتها استخدام HL7 FHIR R4. لا ينبغي الخلط بين نفيس وبين سجل سريري شامل يحل محل EHR لكل مستشفى. [18]</w:t>
      </w:r>
    </w:p>
    <w:p>
      <w:pPr>
        <w:pStyle w:val="Heading2"/>
        <w:jc w:val="right"/>
        <w:bidi w:val="1"/>
      </w:pPr>
      <w:r>
        <w:rPr>
          <w:rFonts w:ascii="Noto Sans Arabic" w:hAnsi="Noto Sans Arabic" w:eastAsia="Noto Sans Arabic" w:cs="Noto Sans Arabic"/>
          <w:b/>
          <w:color w:val="087E8B"/>
          <w:sz w:val="26"/>
          <w:rtl w:val="1"/>
        </w:rPr>
        <w:t>التكييف المحلي المطلوب</w:t>
      </w:r>
    </w:p>
    <w:p>
      <w:pPr>
        <w:pStyle w:val="ListBullet"/>
        <w:ind w:right="259" w:left="72"/>
        <w:jc w:val="right"/>
        <w:bidi w:val="1"/>
      </w:pPr>
      <w:r>
        <w:rPr>
          <w:rFonts w:ascii="Noto Sans Arabic" w:hAnsi="Noto Sans Arabic" w:eastAsia="Noto Sans Arabic" w:cs="Noto Sans Arabic"/>
          <w:sz w:val="19"/>
          <w:rtl w:val="1"/>
        </w:rPr>
        <w:t>الهوية: الرقم الوطني أو هوية الإقامة أو جواز السفر بحسب البلد، تعدد تهجئات الاسم، الحقول العربية واللاتينية، وأداة مراجعة قبل دمج سجلين.</w:t>
      </w:r>
    </w:p>
    <w:p>
      <w:pPr>
        <w:pStyle w:val="ListBullet"/>
        <w:ind w:right="259" w:left="72"/>
        <w:jc w:val="right"/>
        <w:bidi w:val="1"/>
      </w:pPr>
      <w:r>
        <w:rPr>
          <w:rFonts w:ascii="Noto Sans Arabic" w:hAnsi="Noto Sans Arabic" w:eastAsia="Noto Sans Arabic" w:cs="Noto Sans Arabic"/>
          <w:sz w:val="19"/>
          <w:rtl w:val="1"/>
        </w:rPr>
        <w:t>اللغة والواجهة: العربية والإنجليزية، اتجاه RTL دون كسر الجداول، أسماء طبية معيارية، وطباعة تقارير سليمة في اللغتين.</w:t>
      </w:r>
    </w:p>
    <w:p>
      <w:pPr>
        <w:pStyle w:val="ListBullet"/>
        <w:ind w:right="259" w:left="72"/>
        <w:jc w:val="right"/>
        <w:bidi w:val="1"/>
      </w:pPr>
      <w:r>
        <w:rPr>
          <w:rFonts w:ascii="Noto Sans Arabic" w:hAnsi="Noto Sans Arabic" w:eastAsia="Noto Sans Arabic" w:cs="Noto Sans Arabic"/>
          <w:sz w:val="19"/>
          <w:rtl w:val="1"/>
        </w:rPr>
        <w:t>المتطلبات المالية: العملة والضرائب والفواتير والتغطيات وعقود الشركات والموافقات المسبقة والرفض وقواعد المطالبة الخاصة بكل بلد.</w:t>
      </w:r>
    </w:p>
    <w:p>
      <w:pPr>
        <w:pStyle w:val="ListBullet"/>
        <w:ind w:right="259" w:left="72"/>
        <w:jc w:val="right"/>
        <w:bidi w:val="1"/>
      </w:pPr>
      <w:r>
        <w:rPr>
          <w:rFonts w:ascii="Noto Sans Arabic" w:hAnsi="Noto Sans Arabic" w:eastAsia="Noto Sans Arabic" w:cs="Noto Sans Arabic"/>
          <w:sz w:val="19"/>
          <w:rtl w:val="1"/>
        </w:rPr>
        <w:t>قواعد الأدوية والمختبر: أسماء المنتجات وتسجيلاتها ومخزونها ووحداتها، قوائم الفحوصات، المختبر المرجعي، والقيم المرجعية التي تعتمدها المنشأة.</w:t>
      </w:r>
    </w:p>
    <w:p>
      <w:pPr>
        <w:pStyle w:val="ListBullet"/>
        <w:ind w:right="259" w:left="72"/>
        <w:jc w:val="right"/>
        <w:bidi w:val="1"/>
      </w:pPr>
      <w:r>
        <w:rPr>
          <w:rFonts w:ascii="Noto Sans Arabic" w:hAnsi="Noto Sans Arabic" w:eastAsia="Noto Sans Arabic" w:cs="Noto Sans Arabic"/>
          <w:sz w:val="19"/>
          <w:rtl w:val="1"/>
        </w:rPr>
        <w:t>القانون والحوكمة: مكان الاستضافة والنقل عبر الحدود والموافقات والأساس القانوني والوصول حسب الدور وسجل التدقيق والاحتفاظ والإبلاغ عن الحوادث.</w:t>
      </w:r>
    </w:p>
    <w:p>
      <w:pPr>
        <w:pStyle w:val="ListBullet"/>
        <w:ind w:right="259" w:left="72"/>
        <w:jc w:val="right"/>
        <w:bidi w:val="1"/>
      </w:pPr>
      <w:r>
        <w:rPr>
          <w:rFonts w:ascii="Noto Sans Arabic" w:hAnsi="Noto Sans Arabic" w:eastAsia="Noto Sans Arabic" w:cs="Noto Sans Arabic"/>
          <w:sz w:val="19"/>
          <w:rtl w:val="1"/>
        </w:rPr>
        <w:t>التشغيل الواقعي: إنترنت ضعيف أو منقطع، تعافي محلي عند الانقطاع، أجهزة قديمة، دعم خارج أوقات الدوام، تدريب وتغيير إجراءات العمل.</w:t>
      </w:r>
    </w:p>
    <w:p>
      <w:pPr>
        <w:pStyle w:val="ListBullet"/>
        <w:ind w:right="259" w:left="72"/>
        <w:jc w:val="right"/>
        <w:bidi w:val="1"/>
      </w:pPr>
      <w:r>
        <w:rPr>
          <w:rFonts w:ascii="Noto Sans Arabic" w:hAnsi="Noto Sans Arabic" w:eastAsia="Noto Sans Arabic" w:cs="Noto Sans Arabic"/>
          <w:sz w:val="19"/>
          <w:rtl w:val="1"/>
        </w:rPr>
        <w:t>الشراء والتعاقد: تصدير كامل للبيانات والصور والمرفقات، توثيق API، تكاليف التكامل والتحديث، دعم الإصدار، اتفاقية مستوى الخدمة، خطة خروج من المورد.</w:t>
      </w:r>
    </w:p>
    <w:p>
      <w:pPr>
        <w:pStyle w:val="Heading1"/>
        <w:jc w:val="right"/>
        <w:bidi w:val="1"/>
      </w:pPr>
      <w:r>
        <w:rPr>
          <w:rFonts w:ascii="Noto Sans Arabic" w:hAnsi="Noto Sans Arabic" w:eastAsia="Noto Sans Arabic" w:cs="Noto Sans Arabic"/>
          <w:b/>
          <w:color w:val="12304A"/>
          <w:sz w:val="36"/>
          <w:rtl w:val="1"/>
        </w:rPr>
        <w:t>11. التقييم حسب حجم الجهة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2304A"/>
            <w:bidiVisual w:val="1"/>
            <w:vAlign w:val="center"/>
          </w:tcPr>
          <w:p>
            <w:pPr>
              <w:jc w:val="right"/>
              <w:bidi w:val="1"/>
              <w:bidi w:val="1"/>
            </w:pPr>
            <w:r/>
            <w:r>
              <w:rPr>
                <w:rFonts w:ascii="Noto Sans Arabic" w:hAnsi="Noto Sans Arabic" w:eastAsia="Noto Sans Arabic" w:cs="Noto Sans Arabic"/>
                <w:b/>
                <w:color w:val="FFFFFF"/>
                <w:sz w:val="15"/>
                <w:rtl w:val="1"/>
              </w:rPr>
              <w:t>البيئة</w:t>
            </w:r>
          </w:p>
        </w:tc>
        <w:tc>
          <w:tcPr>
            <w:tcW w:type="dxa" w:w="4320"/>
            <w:shd w:fill="12304A"/>
            <w:bidiVisual w:val="1"/>
            <w:vAlign w:val="center"/>
          </w:tcPr>
          <w:p>
            <w:pPr>
              <w:jc w:val="right"/>
              <w:bidi w:val="1"/>
              <w:bidi w:val="1"/>
            </w:pPr>
            <w:r/>
            <w:r>
              <w:rPr>
                <w:rFonts w:ascii="Noto Sans Arabic" w:hAnsi="Noto Sans Arabic" w:eastAsia="Noto Sans Arabic" w:cs="Noto Sans Arabic"/>
                <w:b/>
                <w:color w:val="FFFFFF"/>
                <w:sz w:val="15"/>
                <w:rtl w:val="1"/>
              </w:rPr>
              <w:t>النهج الأكثر واقعية</w:t>
            </w:r>
          </w:p>
        </w:tc>
        <w:tc>
          <w:tcPr>
            <w:tcW w:type="dxa" w:w="3816"/>
            <w:shd w:fill="12304A"/>
            <w:bidiVisual w:val="1"/>
            <w:vAlign w:val="center"/>
          </w:tcPr>
          <w:p>
            <w:pPr>
              <w:jc w:val="right"/>
              <w:bidi w:val="1"/>
              <w:bidi w:val="1"/>
            </w:pPr>
            <w:r/>
            <w:r>
              <w:rPr>
                <w:rFonts w:ascii="Noto Sans Arabic" w:hAnsi="Noto Sans Arabic" w:eastAsia="Noto Sans Arabic" w:cs="Noto Sans Arabic"/>
                <w:b/>
                <w:color w:val="FFFFFF"/>
                <w:sz w:val="15"/>
                <w:rtl w:val="1"/>
              </w:rPr>
              <w:t>لماذا؟</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عيادة مستقلة</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منصة عيادة متخصصة ناضجة أو منتج محلي قوي، مع نسخة احتياطية وصلاحيات وتصدير بيانات.</w:t>
            </w:r>
          </w:p>
        </w:tc>
        <w:tc>
          <w:tcPr>
            <w:tcW w:type="dxa" w:w="381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التعقيد الإداري قليل نسبيًا؛ الأولوية لسهولة الاستخدام والتكلفة والتوثيق وسرعة الدعم.</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مجمع من عدة تخصصات وفروع</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طبقة عيادات مشتركة + سجل سريري موحد + خدمات متخصصة منفصلة عند الحاجة.</w:t>
            </w:r>
          </w:p>
        </w:tc>
        <w:tc>
          <w:tcPr>
            <w:tcW w:type="dxa" w:w="381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يمنع تكرار بيانات المريض ويتيح تقارير موحدة مع بقاء سير كل تخصص مناسبًا له.</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سلسلة أسنان</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نظام أسنان عميق + مصطلحات معيارية + تصوير + حسابات وخطة علاج متعددة الفروع.</w:t>
            </w:r>
          </w:p>
        </w:tc>
        <w:tc>
          <w:tcPr>
            <w:tcW w:type="dxa" w:w="381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المخطط السني وخطة العلاج والمختبرات السنية ليست وظائف هامشية يمكن تقليدها بسهولة.</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مستشفى متوسط/كبير</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شراء منصة EHR/HIS مؤسسية، أو تحديث المنظومة الحالية، مع مشروع تنفيذ وحوكمة بيانات متكامل.</w:t>
            </w:r>
          </w:p>
        </w:tc>
        <w:tc>
          <w:tcPr>
            <w:tcW w:type="dxa" w:w="381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التكامل والاعتماد والتحويل والتدريب والاستمرارية أكبر من أن يختصر في تطوير وحدات متفرقة.</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مختبر مستقل</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LIS متخصص مثبت مع واجهات الأجهزة وضبط الجودة والتتبع؛ ربط نتائج عبر واجهة مع سجل الطبيب.</w:t>
            </w:r>
          </w:p>
        </w:tc>
        <w:tc>
          <w:tcPr>
            <w:tcW w:type="dxa" w:w="381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دقة تتبع العينة واعتماد النتائج ومعايرة الأجهزة أهم من شكل لوحة الإدارة.</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مركز أشعة</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RIS + PACS أو Enterprise Imaging مع تخزين طويل الأمد وتكامل DICOM.</w:t>
            </w:r>
          </w:p>
        </w:tc>
        <w:tc>
          <w:tcPr>
            <w:tcW w:type="dxa" w:w="381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حجم الصور، دقة العرض وسرعة الاستعادة والتوافق مع أجهزة متعددة عناصر حاسمة.</w:t>
            </w:r>
          </w:p>
        </w:tc>
      </w:tr>
      <w:tr>
        <w:tc>
          <w:tcPr>
            <w:tcW w:type="dxa" w:w="208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صيدلية مستقلة أو سلسلة</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PMS متخصص، مع طبقة محلية للأدوية والفوترة والدفعات والصلاحية والتأمين.</w:t>
            </w:r>
          </w:p>
        </w:tc>
        <w:tc>
          <w:tcPr>
            <w:tcW w:type="dxa" w:w="381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مخزون الدواء والتتبع والصرف اليومي لهما منطق مختلف عن السجل السريري للمستشفى.</w:t>
            </w:r>
          </w:p>
        </w:tc>
      </w:tr>
      <w:tr>
        <w:tc>
          <w:tcPr>
            <w:tcW w:type="dxa" w:w="208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شبكة وطنية/عابرة للمنشآت</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منصة تبادل وطني بمعايير وحوكمة وقواميس مشتركة، لا قاعدة بيانات مركزية عشوائية.</w:t>
            </w:r>
          </w:p>
        </w:tc>
        <w:tc>
          <w:tcPr>
            <w:tcW w:type="dxa" w:w="381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يجب أن تبقى البيانات قابلة للتبادل والرقابة والتدقيق من دون تعطيل الأنظمة المحلية المتخصصة.</w:t>
            </w:r>
          </w:p>
        </w:tc>
      </w:tr>
    </w:tbl>
    <w:p>
      <w:pPr>
        <w:spacing w:after="20"/>
      </w:pPr>
    </w:p>
    <w:p>
      <w:pPr>
        <w:pStyle w:val="Heading1"/>
        <w:jc w:val="right"/>
        <w:bidi w:val="1"/>
      </w:pPr>
      <w:r>
        <w:rPr>
          <w:rFonts w:ascii="Noto Sans Arabic" w:hAnsi="Noto Sans Arabic" w:eastAsia="Noto Sans Arabic" w:cs="Noto Sans Arabic"/>
          <w:b/>
          <w:color w:val="12304A"/>
          <w:sz w:val="36"/>
          <w:rtl w:val="1"/>
        </w:rPr>
        <w:t>12. معمارية موصى بها لبناء منتج قابل للتوسع</w:t>
      </w:r>
    </w:p>
    <w:p>
      <w:pPr>
        <w:jc w:val="right"/>
        <w:bidi w:val="1"/>
      </w:pPr>
      <w:r>
        <w:rPr>
          <w:rFonts w:ascii="Noto Sans Arabic" w:hAnsi="Noto Sans Arabic" w:eastAsia="Noto Sans Arabic" w:cs="Noto Sans Arabic"/>
          <w:b w:val="0"/>
          <w:i w:val="0"/>
          <w:sz w:val="20"/>
          <w:rtl w:val="1"/>
        </w:rPr>
        <w:t>إذا كان الهدف بناء منظومة قابلة للتوسع دوليًا، فالتصميم الأفضل ليس «تطبيقًا واحدًا يفعل كل شيء» ولا مجموعة برامج لا تتفق على معنى البيانات. النهج الأنسب هو نواة مشتركة محددة المسؤوليات، مع وحدات تخصصية وطبقة تكامل ومعايير مفتوحة.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2304A"/>
            <w:bidiVisual w:val="1"/>
            <w:vAlign w:val="center"/>
          </w:tcPr>
          <w:p>
            <w:pPr>
              <w:jc w:val="right"/>
              <w:bidi w:val="1"/>
              <w:bidi w:val="1"/>
            </w:pPr>
            <w:r/>
            <w:r>
              <w:rPr>
                <w:rFonts w:ascii="Noto Sans Arabic" w:hAnsi="Noto Sans Arabic" w:eastAsia="Noto Sans Arabic" w:cs="Noto Sans Arabic"/>
                <w:b/>
                <w:color w:val="FFFFFF"/>
                <w:sz w:val="15"/>
                <w:rtl w:val="1"/>
              </w:rPr>
              <w:t>المكوّن المعماري</w:t>
            </w:r>
          </w:p>
        </w:tc>
        <w:tc>
          <w:tcPr>
            <w:tcW w:type="dxa" w:w="3600"/>
            <w:shd w:fill="12304A"/>
            <w:bidiVisual w:val="1"/>
            <w:vAlign w:val="center"/>
          </w:tcPr>
          <w:p>
            <w:pPr>
              <w:jc w:val="right"/>
              <w:bidi w:val="1"/>
              <w:bidi w:val="1"/>
            </w:pPr>
            <w:r/>
            <w:r>
              <w:rPr>
                <w:rFonts w:ascii="Noto Sans Arabic" w:hAnsi="Noto Sans Arabic" w:eastAsia="Noto Sans Arabic" w:cs="Noto Sans Arabic"/>
                <w:b/>
                <w:color w:val="FFFFFF"/>
                <w:sz w:val="15"/>
                <w:rtl w:val="1"/>
              </w:rPr>
              <w:t>مسؤوليته</w:t>
            </w:r>
          </w:p>
        </w:tc>
        <w:tc>
          <w:tcPr>
            <w:tcW w:type="dxa" w:w="4248"/>
            <w:shd w:fill="12304A"/>
            <w:bidiVisual w:val="1"/>
            <w:vAlign w:val="center"/>
          </w:tcPr>
          <w:p>
            <w:pPr>
              <w:jc w:val="right"/>
              <w:bidi w:val="1"/>
              <w:bidi w:val="1"/>
            </w:pPr>
            <w:r/>
            <w:r>
              <w:rPr>
                <w:rFonts w:ascii="Noto Sans Arabic" w:hAnsi="Noto Sans Arabic" w:eastAsia="Noto Sans Arabic" w:cs="Noto Sans Arabic"/>
                <w:b/>
                <w:color w:val="FFFFFF"/>
                <w:sz w:val="15"/>
                <w:rtl w:val="1"/>
              </w:rPr>
              <w:t>قاعدة التصميم</w:t>
            </w:r>
          </w:p>
        </w:tc>
      </w:tr>
      <w:tr>
        <w:tc>
          <w:tcPr>
            <w:tcW w:type="dxa" w:w="237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Patient Identity / MPI</w:t>
            </w:r>
          </w:p>
        </w:tc>
        <w:tc>
          <w:tcPr>
            <w:tcW w:type="dxa" w:w="36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مطابقة هوية المريض وربط المعرفات عبر المنشآت.</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لا دمج تلقائيًا بالاسم وحده؛ الحالات الملتبسة تحتاج مراجعة وسجلًا قابلًا للعكس.</w:t>
            </w:r>
          </w:p>
        </w:tc>
      </w:tr>
      <w:tr>
        <w:tc>
          <w:tcPr>
            <w:tcW w:type="dxa" w:w="237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Encounter &amp; Clinical Record</w:t>
            </w:r>
          </w:p>
        </w:tc>
        <w:tc>
          <w:tcPr>
            <w:tcW w:type="dxa" w:w="36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الزيارة، التاريخ، التشخيص، الملاحظات، الحساسية، الأوامر، النتائج.</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فصل المريض عن الزيارة وعن الإجراء؛ نسخ تاريخية وتصحيحات موقعة.</w:t>
            </w:r>
          </w:p>
        </w:tc>
      </w:tr>
      <w:tr>
        <w:tc>
          <w:tcPr>
            <w:tcW w:type="dxa" w:w="237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Specialty Modules</w:t>
            </w:r>
          </w:p>
        </w:tc>
        <w:tc>
          <w:tcPr>
            <w:tcW w:type="dxa" w:w="36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الأسنان، المختبر، الأشعة، الصيدلية وغيرها.</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قواعد تخصصية مستقلة بواجهات واضحة ومفردات متفق عليها.</w:t>
            </w:r>
          </w:p>
        </w:tc>
      </w:tr>
      <w:tr>
        <w:tc>
          <w:tcPr>
            <w:tcW w:type="dxa" w:w="237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Terminology Service</w:t>
            </w:r>
          </w:p>
        </w:tc>
        <w:tc>
          <w:tcPr>
            <w:tcW w:type="dxa" w:w="36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رموز ومفاهيم وقيم وقواميس وترجمات ومصطلحات محلية.</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فصل الرمز المعياري عن النص المعروض؛ إصدارات وتاريخ نفاذ ومراجعة سريرية.</w:t>
            </w:r>
          </w:p>
        </w:tc>
      </w:tr>
      <w:tr>
        <w:tc>
          <w:tcPr>
            <w:tcW w:type="dxa" w:w="237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Integration Gateway</w:t>
            </w:r>
          </w:p>
        </w:tc>
        <w:tc>
          <w:tcPr>
            <w:tcW w:type="dxa" w:w="36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FHIR/HL7/DICOM والتحويل والتوجيه وإعادة المحاولة.</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رسائل idempotent، مراقبة، سجل أخطاء، وعدم فقدان الرسائل الصامت.</w:t>
            </w:r>
          </w:p>
        </w:tc>
      </w:tr>
      <w:tr>
        <w:tc>
          <w:tcPr>
            <w:tcW w:type="dxa" w:w="237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Billing &amp; Country Rules</w:t>
            </w:r>
          </w:p>
        </w:tc>
        <w:tc>
          <w:tcPr>
            <w:tcW w:type="dxa" w:w="36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التسعير والفاتورة والتأمين والمطالبات والضرائب.</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حزم قواعد حسب البلد؛ لا تُضمّن قواعد دولة واحدة في نواة المنتج.</w:t>
            </w:r>
          </w:p>
        </w:tc>
      </w:tr>
      <w:tr>
        <w:tc>
          <w:tcPr>
            <w:tcW w:type="dxa" w:w="2376"/>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Security &amp; Audit</w:t>
            </w:r>
          </w:p>
        </w:tc>
        <w:tc>
          <w:tcPr>
            <w:tcW w:type="dxa" w:w="360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المصادقة، التفويض، سجل القراءة والتعديل والتصدير، إدارة الجلسات.</w:t>
            </w:r>
          </w:p>
        </w:tc>
        <w:tc>
          <w:tcPr>
            <w:tcW w:type="dxa" w:w="4248"/>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أقل صلاحية لازمة، مراجعات دورية، MFA للوظائف الحساسة، وعدم حذف الأثر.</w:t>
            </w:r>
          </w:p>
        </w:tc>
      </w:tr>
      <w:tr>
        <w:tc>
          <w:tcPr>
            <w:tcW w:type="dxa" w:w="2376"/>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Resilience &amp; Data Portability</w:t>
            </w:r>
          </w:p>
        </w:tc>
        <w:tc>
          <w:tcPr>
            <w:tcW w:type="dxa" w:w="360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النسخ الاحتياطي، التعافي، التصدير، مراقبة التوافر.</w:t>
            </w:r>
          </w:p>
        </w:tc>
        <w:tc>
          <w:tcPr>
            <w:tcW w:type="dxa" w:w="4248"/>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اختبار استعادة حقيقي، خطة تشغيل عند انقطاع الاتصال، وخطة خروج من المورد.</w:t>
            </w:r>
          </w:p>
        </w:tc>
      </w:tr>
    </w:tbl>
    <w:p>
      <w:pPr>
        <w:spacing w:after="20"/>
      </w:pPr>
    </w:p>
    <w:p>
      <w:pPr>
        <w:pStyle w:val="Heading2"/>
        <w:jc w:val="right"/>
        <w:bidi w:val="1"/>
      </w:pPr>
      <w:r>
        <w:rPr>
          <w:rFonts w:ascii="Noto Sans Arabic" w:hAnsi="Noto Sans Arabic" w:eastAsia="Noto Sans Arabic" w:cs="Noto Sans Arabic"/>
          <w:b/>
          <w:color w:val="087E8B"/>
          <w:sz w:val="26"/>
          <w:rtl w:val="1"/>
        </w:rPr>
        <w:t>التدفق الذي يجب أن ينجح من أوله إلى آخره</w:t>
      </w:r>
    </w:p>
    <w:p>
      <w:pPr>
        <w:pStyle w:val="ListNumber"/>
        <w:ind w:right="259" w:left="72"/>
        <w:jc w:val="right"/>
        <w:bidi w:val="1"/>
      </w:pPr>
      <w:r>
        <w:rPr>
          <w:rFonts w:ascii="Noto Sans Arabic" w:hAnsi="Noto Sans Arabic" w:eastAsia="Noto Sans Arabic" w:cs="Noto Sans Arabic"/>
          <w:sz w:val="19"/>
          <w:rtl w:val="1"/>
        </w:rPr>
        <w:t>يحجز المريض الموعد؛ يبحث النظام عن سجل موجود ويعرض احتمالات التطابق بدل إنشاء سجل جديد مباشرة عند كل اختلاف بالاسم.</w:t>
      </w:r>
    </w:p>
    <w:p>
      <w:pPr>
        <w:pStyle w:val="ListNumber"/>
        <w:ind w:right="259" w:left="72"/>
        <w:jc w:val="right"/>
        <w:bidi w:val="1"/>
      </w:pPr>
      <w:r>
        <w:rPr>
          <w:rFonts w:ascii="Noto Sans Arabic" w:hAnsi="Noto Sans Arabic" w:eastAsia="Noto Sans Arabic" w:cs="Noto Sans Arabic"/>
          <w:sz w:val="19"/>
          <w:rtl w:val="1"/>
        </w:rPr>
        <w:t>عند الوصول تُفتح زيارة مرتبطة بالمريض والطبيب والفرع؛ يراجع الطبيب التاريخ والحساسية والأدوية السابقة مع مصدر كل معلومة.</w:t>
      </w:r>
    </w:p>
    <w:p>
      <w:pPr>
        <w:pStyle w:val="ListNumber"/>
        <w:ind w:right="259" w:left="72"/>
        <w:jc w:val="right"/>
        <w:bidi w:val="1"/>
      </w:pPr>
      <w:r>
        <w:rPr>
          <w:rFonts w:ascii="Noto Sans Arabic" w:hAnsi="Noto Sans Arabic" w:eastAsia="Noto Sans Arabic" w:cs="Noto Sans Arabic"/>
          <w:sz w:val="19"/>
          <w:rtl w:val="1"/>
        </w:rPr>
        <w:t>ينشئ الطبيب طلب مختبر أو أشعة أو وصفة من الزيارة؛ يحتفظ كل طلب بمعرف وحالة وأولوية ومرجع للزيارة.</w:t>
      </w:r>
    </w:p>
    <w:p>
      <w:pPr>
        <w:pStyle w:val="ListNumber"/>
        <w:ind w:right="259" w:left="72"/>
        <w:jc w:val="right"/>
        <w:bidi w:val="1"/>
      </w:pPr>
      <w:r>
        <w:rPr>
          <w:rFonts w:ascii="Noto Sans Arabic" w:hAnsi="Noto Sans Arabic" w:eastAsia="Noto Sans Arabic" w:cs="Noto Sans Arabic"/>
          <w:sz w:val="19"/>
          <w:rtl w:val="1"/>
        </w:rPr>
        <w:t>يتولى LIS العينة والجهاز وضبط الجودة واعتماد النتيجة؛ أو يتولى RIS/PACS الجدولة والصورة والتقرير؛ ثم تعود الحالة إلى السجل الصحيح.</w:t>
      </w:r>
    </w:p>
    <w:p>
      <w:pPr>
        <w:pStyle w:val="ListNumber"/>
        <w:ind w:right="259" w:left="72"/>
        <w:jc w:val="right"/>
        <w:bidi w:val="1"/>
      </w:pPr>
      <w:r>
        <w:rPr>
          <w:rFonts w:ascii="Noto Sans Arabic" w:hAnsi="Noto Sans Arabic" w:eastAsia="Noto Sans Arabic" w:cs="Noto Sans Arabic"/>
          <w:sz w:val="19"/>
          <w:rtl w:val="1"/>
        </w:rPr>
        <w:t>يُصرف الدواء من الصيدلية مع تتبع المستحضر والدفعة والتاريخ، وتُسجل المعاملة المالية وفق العقد والتغطية والبلد.</w:t>
      </w:r>
    </w:p>
    <w:p>
      <w:pPr>
        <w:pStyle w:val="ListNumber"/>
        <w:ind w:right="259" w:left="72"/>
        <w:jc w:val="right"/>
        <w:bidi w:val="1"/>
      </w:pPr>
      <w:r>
        <w:rPr>
          <w:rFonts w:ascii="Noto Sans Arabic" w:hAnsi="Noto Sans Arabic" w:eastAsia="Noto Sans Arabic" w:cs="Noto Sans Arabic"/>
          <w:sz w:val="19"/>
          <w:rtl w:val="1"/>
        </w:rPr>
        <w:t>يُغلق المسار بتوثيق من أنشأ واعتمد وصحح واطّلع، ويظل تاريخ المريض قابلًا للمراجعة والتصدير والتحليل.</w:t>
      </w:r>
    </w:p>
    <w:p>
      <w:pPr>
        <w:pStyle w:val="Heading1"/>
        <w:jc w:val="right"/>
        <w:bidi w:val="1"/>
      </w:pPr>
      <w:r>
        <w:rPr>
          <w:rFonts w:ascii="Noto Sans Arabic" w:hAnsi="Noto Sans Arabic" w:eastAsia="Noto Sans Arabic" w:cs="Noto Sans Arabic"/>
          <w:b/>
          <w:color w:val="12304A"/>
          <w:sz w:val="36"/>
          <w:rtl w:val="1"/>
        </w:rPr>
        <w:t>13. خطة تنفيذ تدريجية واقعية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304A"/>
            <w:bidiVisual w:val="1"/>
            <w:vAlign w:val="center"/>
          </w:tcPr>
          <w:p>
            <w:pPr>
              <w:jc w:val="right"/>
              <w:bidi w:val="1"/>
              <w:bidi w:val="1"/>
            </w:pPr>
            <w:r/>
            <w:r>
              <w:rPr>
                <w:rFonts w:ascii="Noto Sans Arabic" w:hAnsi="Noto Sans Arabic" w:eastAsia="Noto Sans Arabic" w:cs="Noto Sans Arabic"/>
                <w:b/>
                <w:color w:val="FFFFFF"/>
                <w:sz w:val="15"/>
                <w:rtl w:val="1"/>
              </w:rPr>
              <w:t>المرحلة</w:t>
            </w:r>
          </w:p>
        </w:tc>
        <w:tc>
          <w:tcPr>
            <w:tcW w:type="dxa" w:w="4320"/>
            <w:shd w:fill="12304A"/>
            <w:bidiVisual w:val="1"/>
            <w:vAlign w:val="center"/>
          </w:tcPr>
          <w:p>
            <w:pPr>
              <w:jc w:val="right"/>
              <w:bidi w:val="1"/>
              <w:bidi w:val="1"/>
            </w:pPr>
            <w:r/>
            <w:r>
              <w:rPr>
                <w:rFonts w:ascii="Noto Sans Arabic" w:hAnsi="Noto Sans Arabic" w:eastAsia="Noto Sans Arabic" w:cs="Noto Sans Arabic"/>
                <w:b/>
                <w:color w:val="FFFFFF"/>
                <w:sz w:val="15"/>
                <w:rtl w:val="1"/>
              </w:rPr>
              <w:t>النطاق</w:t>
            </w:r>
          </w:p>
        </w:tc>
        <w:tc>
          <w:tcPr>
            <w:tcW w:type="dxa" w:w="3960"/>
            <w:shd w:fill="12304A"/>
            <w:bidiVisual w:val="1"/>
            <w:vAlign w:val="center"/>
          </w:tcPr>
          <w:p>
            <w:pPr>
              <w:jc w:val="right"/>
              <w:bidi w:val="1"/>
              <w:bidi w:val="1"/>
            </w:pPr>
            <w:r/>
            <w:r>
              <w:rPr>
                <w:rFonts w:ascii="Noto Sans Arabic" w:hAnsi="Noto Sans Arabic" w:eastAsia="Noto Sans Arabic" w:cs="Noto Sans Arabic"/>
                <w:b/>
                <w:color w:val="FFFFFF"/>
                <w:sz w:val="15"/>
                <w:rtl w:val="1"/>
              </w:rPr>
              <w:t>بوابة الخروج قبل التوسع</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0. اكتشاف ومخاطر</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توثيق سير العمل، البيانات، القانون، المستخدمين، التكاملات، التهديدات وسيناريوهات الفشل.</w:t>
            </w:r>
          </w:p>
        </w:tc>
        <w:tc>
          <w:tcPr>
            <w:tcW w:type="dxa" w:w="396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اعتماد نطاق مكتوب وقائمة متطلبات قابلة للاختبار ومالكي البيانات والعمليات.</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1. أساس العيادات</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هوية المريض، المواعيد، الزيارة، التاريخ الطبي، الصلاحيات، التدقيق، النسخ الاحتياطي والتصدير.</w:t>
            </w:r>
          </w:p>
        </w:tc>
        <w:tc>
          <w:tcPr>
            <w:tcW w:type="dxa" w:w="396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اختبار منع التكرار، التعديلات التاريخية، استعادة نسخة احتياطية، ومسارات العمل اليومية.</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2. تخصصات محددة</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إضافة الأسنان أو المختبر أو الأشعة أو الصيدلية بحسب أولوية العميل.</w:t>
            </w:r>
          </w:p>
        </w:tc>
        <w:tc>
          <w:tcPr>
            <w:tcW w:type="dxa" w:w="396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نجاح اختبار طرف-لطرف مع جهاز/مورد فعلي واختبارات الفشل والتنبيه والمصالحة.</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3. الفروع والتأمين</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تقارير المجموعة، فصل الصلاحيات، التسعير والتغطيات والبوابات المحلية.</w:t>
            </w:r>
          </w:p>
        </w:tc>
        <w:tc>
          <w:tcPr>
            <w:tcW w:type="dxa" w:w="396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مصالحة القيود المالية، عزل الفروع، اختبار الفواتير والمطالبات وفق متطلبات البلد.</w:t>
            </w:r>
          </w:p>
        </w:tc>
      </w:tr>
      <w:tr>
        <w:tc>
          <w:tcPr>
            <w:tcW w:type="dxa" w:w="1944"/>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4. التبادل الخارجي</w:t>
            </w:r>
          </w:p>
        </w:tc>
        <w:tc>
          <w:tcPr>
            <w:tcW w:type="dxa" w:w="432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FHIR أو HL7 أو DICOM حسب الاستخدام، وHIE/بوابة وطنية عند وجود مسار معتمد.</w:t>
            </w:r>
          </w:p>
        </w:tc>
        <w:tc>
          <w:tcPr>
            <w:tcW w:type="dxa" w:w="3960"/>
            <w:bidiVisual w:val="1"/>
            <w:vAlign w:val="center"/>
            <w:shd w:fill="EAF2F6"/>
          </w:tcPr>
          <w:p>
            <w:pPr>
              <w:spacing w:after="40" w:before="40" w:line="245" w:lineRule="auto"/>
              <w:jc w:val="right"/>
              <w:bidi w:val="1"/>
              <w:bidi w:val="1"/>
            </w:pPr>
            <w:r/>
            <w:r>
              <w:rPr>
                <w:rFonts w:ascii="Noto Sans Arabic" w:hAnsi="Noto Sans Arabic" w:eastAsia="Noto Sans Arabic" w:cs="Noto Sans Arabic"/>
                <w:color w:val="455A64"/>
                <w:sz w:val="15"/>
                <w:rtl w:val="1"/>
              </w:rPr>
              <w:t>اختبارات مطابقة تعاقدية وأمنية وتوافق بيني وتسجيل كامل للرسائل.</w:t>
            </w:r>
          </w:p>
        </w:tc>
      </w:tr>
      <w:tr>
        <w:tc>
          <w:tcPr>
            <w:tcW w:type="dxa" w:w="1944"/>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5. التحليلات والذكاء الاصطناعي</w:t>
            </w:r>
          </w:p>
        </w:tc>
        <w:tc>
          <w:tcPr>
            <w:tcW w:type="dxa" w:w="432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مؤشرات التشغيل، اكتشاف الشذوذ، المساعدة بالتوثيق أو ترتيب العمل.</w:t>
            </w:r>
          </w:p>
        </w:tc>
        <w:tc>
          <w:tcPr>
            <w:tcW w:type="dxa" w:w="3960"/>
            <w:bidiVisual w:val="1"/>
            <w:vAlign w:val="center"/>
            <w:shd w:fill="F5F8FA"/>
          </w:tcPr>
          <w:p>
            <w:pPr>
              <w:spacing w:after="40" w:before="40" w:line="245" w:lineRule="auto"/>
              <w:jc w:val="right"/>
              <w:bidi w:val="1"/>
              <w:bidi w:val="1"/>
            </w:pPr>
            <w:r/>
            <w:r>
              <w:rPr>
                <w:rFonts w:ascii="Noto Sans Arabic" w:hAnsi="Noto Sans Arabic" w:eastAsia="Noto Sans Arabic" w:cs="Noto Sans Arabic"/>
                <w:color w:val="455A64"/>
                <w:sz w:val="15"/>
                <w:rtl w:val="1"/>
              </w:rPr>
              <w:t>جودة بيانات مقاسة، تقييم سريري وأمني، إشراف بشري، مراقبة الانحياز والتراجع.</w:t>
            </w:r>
          </w:p>
        </w:tc>
      </w:tr>
    </w:tbl>
    <w:p>
      <w:pPr>
        <w:spacing w:after="20"/>
      </w:pPr>
    </w:p>
    <w:p>
      <w:pPr>
        <w:pStyle w:val="Heading1"/>
        <w:jc w:val="right"/>
        <w:bidi w:val="1"/>
      </w:pPr>
      <w:r>
        <w:rPr>
          <w:rFonts w:ascii="Noto Sans Arabic" w:hAnsi="Noto Sans Arabic" w:eastAsia="Noto Sans Arabic" w:cs="Noto Sans Arabic"/>
          <w:b/>
          <w:color w:val="12304A"/>
          <w:sz w:val="36"/>
          <w:rtl w:val="1"/>
        </w:rPr>
        <w:t>14. المخاطر التي قد تُفشل أفضل برنامج</w:t>
      </w:r>
    </w:p>
    <w:p>
      <w:pPr>
        <w:pStyle w:val="ListBullet"/>
        <w:ind w:right="259" w:left="72"/>
        <w:jc w:val="right"/>
        <w:bidi w:val="1"/>
      </w:pPr>
      <w:r>
        <w:rPr>
          <w:rFonts w:ascii="Noto Sans Arabic" w:hAnsi="Noto Sans Arabic" w:eastAsia="Noto Sans Arabic" w:cs="Noto Sans Arabic"/>
          <w:sz w:val="19"/>
          <w:rtl w:val="1"/>
        </w:rPr>
        <w:t>ترحيل بيانات بلا تسوية: المريض نفسه يصبح ثلاثة سجلات، أو تظهر نتيجة مختبر تحت هوية خاطئة.</w:t>
      </w:r>
    </w:p>
    <w:p>
      <w:pPr>
        <w:pStyle w:val="ListBullet"/>
        <w:ind w:right="259" w:left="72"/>
        <w:jc w:val="right"/>
        <w:bidi w:val="1"/>
      </w:pPr>
      <w:r>
        <w:rPr>
          <w:rFonts w:ascii="Noto Sans Arabic" w:hAnsi="Noto Sans Arabic" w:eastAsia="Noto Sans Arabic" w:cs="Noto Sans Arabic"/>
          <w:sz w:val="19"/>
          <w:rtl w:val="1"/>
        </w:rPr>
        <w:t>تخصيصات غير منضبطة: تغييرات شاشة محلية تكسر التحديثات أو توحيد المصطلحات أو التقارير.</w:t>
      </w:r>
    </w:p>
    <w:p>
      <w:pPr>
        <w:pStyle w:val="ListBullet"/>
        <w:ind w:right="259" w:left="72"/>
        <w:jc w:val="right"/>
        <w:bidi w:val="1"/>
      </w:pPr>
      <w:r>
        <w:rPr>
          <w:rFonts w:ascii="Noto Sans Arabic" w:hAnsi="Noto Sans Arabic" w:eastAsia="Noto Sans Arabic" w:cs="Noto Sans Arabic"/>
          <w:sz w:val="19"/>
          <w:rtl w:val="1"/>
        </w:rPr>
        <w:t>تكامل شكلي: API موجود لكن لا توجد معالجة للرسائل المكررة أو المنقطعة أو المتأخرة.</w:t>
      </w:r>
    </w:p>
    <w:p>
      <w:pPr>
        <w:pStyle w:val="ListBullet"/>
        <w:ind w:right="259" w:left="72"/>
        <w:jc w:val="right"/>
        <w:bidi w:val="1"/>
      </w:pPr>
      <w:r>
        <w:rPr>
          <w:rFonts w:ascii="Noto Sans Arabic" w:hAnsi="Noto Sans Arabic" w:eastAsia="Noto Sans Arabic" w:cs="Noto Sans Arabic"/>
          <w:sz w:val="19"/>
          <w:rtl w:val="1"/>
        </w:rPr>
        <w:t>صلاحيات واسعة: يستطيع موظف لا يحتاج المعلومة قراءتها أو تصديرها، ولا يوجد سجل يوضح الاستخدام.</w:t>
      </w:r>
    </w:p>
    <w:p>
      <w:pPr>
        <w:pStyle w:val="ListBullet"/>
        <w:ind w:right="259" w:left="72"/>
        <w:jc w:val="right"/>
        <w:bidi w:val="1"/>
      </w:pPr>
      <w:r>
        <w:rPr>
          <w:rFonts w:ascii="Noto Sans Arabic" w:hAnsi="Noto Sans Arabic" w:eastAsia="Noto Sans Arabic" w:cs="Noto Sans Arabic"/>
          <w:sz w:val="19"/>
          <w:rtl w:val="1"/>
        </w:rPr>
        <w:t>نسخ احتياطي لم يُختبر: وجود نسخة لا يثبت إمكانية استعادة النظام في الوقت المطلوب.</w:t>
      </w:r>
    </w:p>
    <w:p>
      <w:pPr>
        <w:pStyle w:val="ListBullet"/>
        <w:ind w:right="259" w:left="72"/>
        <w:jc w:val="right"/>
        <w:bidi w:val="1"/>
      </w:pPr>
      <w:r>
        <w:rPr>
          <w:rFonts w:ascii="Noto Sans Arabic" w:hAnsi="Noto Sans Arabic" w:eastAsia="Noto Sans Arabic" w:cs="Noto Sans Arabic"/>
          <w:sz w:val="19"/>
          <w:rtl w:val="1"/>
        </w:rPr>
        <w:t>خطر الارتهان للمورد: لا يمكن تصدير الصور أو المرفقات أو سجل التدقيق أو قاموس المصطلحات بصورة مفهومة.</w:t>
      </w:r>
    </w:p>
    <w:p>
      <w:pPr>
        <w:pStyle w:val="ListBullet"/>
        <w:ind w:right="259" w:left="72"/>
        <w:jc w:val="right"/>
        <w:bidi w:val="1"/>
      </w:pPr>
      <w:r>
        <w:rPr>
          <w:rFonts w:ascii="Noto Sans Arabic" w:hAnsi="Noto Sans Arabic" w:eastAsia="Noto Sans Arabic" w:cs="Noto Sans Arabic"/>
          <w:sz w:val="19"/>
          <w:rtl w:val="1"/>
        </w:rPr>
        <w:t>ذكاء اصطناعي مبكر: أتمتة بيانات غير موحدة قد تضخم أخطاء التسجيل أو التوصية؛ الذكاء الاصطناعي لا يعوض غياب حوكمة البيانات.</w:t>
      </w:r>
    </w:p>
    <w:p>
      <w:pPr>
        <w:pStyle w:val="Heading1"/>
        <w:jc w:val="right"/>
        <w:bidi w:val="1"/>
      </w:pPr>
      <w:r>
        <w:rPr>
          <w:rFonts w:ascii="Noto Sans Arabic" w:hAnsi="Noto Sans Arabic" w:eastAsia="Noto Sans Arabic" w:cs="Noto Sans Arabic"/>
          <w:b/>
          <w:color w:val="12304A"/>
          <w:sz w:val="36"/>
          <w:rtl w:val="1"/>
        </w:rPr>
        <w:t>15. الحكم النهائي والتوصيات العملية</w:t>
      </w:r>
    </w:p>
    <w:p>
      <w:pPr>
        <w:jc w:val="right"/>
        <w:bidi w:val="1"/>
      </w:pPr>
      <w:r>
        <w:rPr>
          <w:rFonts w:ascii="Noto Sans Arabic" w:hAnsi="Noto Sans Arabic" w:eastAsia="Noto Sans Arabic" w:cs="Noto Sans Arabic"/>
          <w:b w:val="0"/>
          <w:i w:val="0"/>
          <w:sz w:val="20"/>
          <w:rtl w:val="1"/>
        </w:rPr>
        <w:t>للمستشفى الكبير: قارن Epic وOracle Health وMEDITECH وInterSystems TrakCare وفق حجم المنشأة والبلد وتجربة عملاء مشابهين، لا وفق الاسم العالمي فقط. بيانات KLAS أداة مرجعية مفيدة لكنها تمثل عينات وأسواقًا محددة ولا تضمن أداء أي تنفيذ محلي. [1][19]</w:t>
      </w:r>
    </w:p>
    <w:p>
      <w:pPr>
        <w:jc w:val="right"/>
        <w:bidi w:val="1"/>
      </w:pPr>
      <w:r>
        <w:rPr>
          <w:rFonts w:ascii="Noto Sans Arabic" w:hAnsi="Noto Sans Arabic" w:eastAsia="Noto Sans Arabic" w:cs="Noto Sans Arabic"/>
          <w:b w:val="0"/>
          <w:i w:val="0"/>
          <w:sz w:val="20"/>
          <w:rtl w:val="1"/>
        </w:rPr>
        <w:t>للمجمعات والعيادات: ابدأ باحتياجات الاستقبال والزيارات والتاريخ الطبي والجدولة والفوترة وسهولة الاستخدام، ثم اربط المختبر والأشعة والصيدلية عند الحاجة. لطب الأسنان اختر نظامًا يفهم المخطط السني وخطة العلاج والتوثيق، ولا تحاول تصنيع هذه الوظائف كحقول نصية عامة.</w:t>
      </w:r>
    </w:p>
    <w:p>
      <w:pPr>
        <w:jc w:val="right"/>
        <w:bidi w:val="1"/>
      </w:pPr>
      <w:r>
        <w:rPr>
          <w:rFonts w:ascii="Noto Sans Arabic" w:hAnsi="Noto Sans Arabic" w:eastAsia="Noto Sans Arabic" w:cs="Noto Sans Arabic"/>
          <w:b w:val="0"/>
          <w:i w:val="0"/>
          <w:sz w:val="20"/>
          <w:rtl w:val="1"/>
        </w:rPr>
        <w:t>للمختبر: اشترِ أو ابنِ LIS حول تتبع العينة والأجهزة وضبط الجودة والاعتماد. للأشعة: قيّم RIS وPACS والأرشفة وتكامل DICOM على حجم صور واقعي. للصيدلية: افصل صحة الوصفة عن توفر المخزون وعن المعاملة المالية، واربط الثلاثة بسجل واضح.</w:t>
      </w:r>
    </w:p>
    <w:p>
      <w:pPr>
        <w:jc w:val="right"/>
        <w:bidi w:val="1"/>
      </w:pPr>
      <w:r>
        <w:rPr>
          <w:rFonts w:ascii="Noto Sans Arabic" w:hAnsi="Noto Sans Arabic" w:eastAsia="Noto Sans Arabic" w:cs="Noto Sans Arabic"/>
          <w:b w:val="0"/>
          <w:i w:val="0"/>
          <w:sz w:val="20"/>
          <w:rtl w:val="1"/>
        </w:rPr>
        <w:t>للمنطقة: أنشئ محرك قواعد محلية منفصلًا وقواميس متعددة اللغات من البداية، واجعل FHIR/HL7 وDICOM وملفات IHE أدوات تكامل وفق الحالة. افحص قانون حماية البيانات، الإقامة ومشاركة البيانات، بوابات التأمين، معايير التبادل الوطني، وتوافر الدعم المحلي قبل توقيع العقد. [10][11][12][17][18]</w:t>
      </w:r>
    </w:p>
    <w:p>
      <w:pPr>
        <w:jc w:val="right"/>
        <w:bidi w:val="1"/>
      </w:pPr>
      <w:r>
        <w:rPr>
          <w:rFonts w:ascii="Noto Sans Arabic" w:hAnsi="Noto Sans Arabic" w:eastAsia="Noto Sans Arabic" w:cs="Noto Sans Arabic"/>
          <w:b w:val="0"/>
          <w:i w:val="0"/>
          <w:sz w:val="20"/>
          <w:rtl w:val="1"/>
        </w:rPr>
        <w:t>الشيء الذي يستحق البناء طويل الأمد هو منصة صحية قابلة للتوسع: هوية موثوقة، سجل سريري زمني، وحدات تخصصية حقيقية، قاموس طبي معياري قابل للتخصيص في العرض، تكامل قابل للمراقبة، أمن وتدقيق، وتصدير واستعادة مثبتان. هذه هي الصفات التي تسمح بالتوسع من عيادة واحدة إلى مجموعة طبية، ثم إلى شبكة أو بلد، دون إعادة كتابة كل شيء من الصفر.</w:t>
      </w:r>
    </w:p>
    <w:p>
      <w:pPr>
        <w:pStyle w:val="Heading1"/>
        <w:jc w:val="right"/>
        <w:bidi w:val="1"/>
      </w:pPr>
      <w:r>
        <w:rPr>
          <w:rFonts w:ascii="Noto Sans Arabic" w:hAnsi="Noto Sans Arabic" w:eastAsia="Noto Sans Arabic" w:cs="Noto Sans Arabic"/>
          <w:b/>
          <w:color w:val="12304A"/>
          <w:sz w:val="36"/>
          <w:rtl w:val="1"/>
        </w:rPr>
        <w:t>المصادر وروابط التحقق</w:t>
      </w:r>
    </w:p>
    <w:p>
      <w:pPr>
        <w:jc w:val="right"/>
        <w:bidi w:val="1"/>
      </w:pPr>
      <w:r>
        <w:rPr>
          <w:rFonts w:ascii="Noto Sans Arabic" w:hAnsi="Noto Sans Arabic" w:eastAsia="Noto Sans Arabic" w:cs="Noto Sans Arabic"/>
          <w:b w:val="0"/>
          <w:i w:val="0"/>
          <w:sz w:val="18"/>
          <w:rtl w:val="1"/>
        </w:rPr>
        <w:t>تم استخدام المصادر التالية لتثبيت نطاقات المنتجات ومعايير التشغيل والأمثلة الإقليمية. صفحات الشركات تثبت ما تعلنه الشركة عن المنتج، ولا تعني أن كل ميزة متاحة في كل بلد أو عقد؛ أما تقييم الملاءمة النهائي فيحتاج عرضًا عمليًا واختبار قبول ومراجع عملاء محلية.</w:t>
      </w:r>
    </w:p>
    <w:p>
      <w:pPr>
        <w:spacing w:after="60"/>
        <w:jc w:val="right"/>
        <w:bidi w:val="1"/>
      </w:pPr>
      <w:r>
        <w:rPr>
          <w:rFonts w:ascii="Noto Sans Arabic" w:hAnsi="Noto Sans Arabic" w:eastAsia="Noto Sans Arabic" w:cs="Noto Sans Arabic"/>
          <w:b/>
          <w:color w:val="12304A"/>
          <w:sz w:val="17"/>
          <w:rtl w:val="1"/>
        </w:rPr>
        <w:t xml:space="preserve">[1] KLAS Research — Best in KLAS 2025, Acute Care EHR &amp; Patient Accounting — </w:t>
      </w:r>
      <w:r>
        <w:rPr>
          <w:rFonts w:ascii="DejaVu Sans" w:hAnsi="DejaVu Sans" w:eastAsia="DejaVu Sans" w:cs="DejaVu Sans"/>
          <w:color w:val="087E8B"/>
          <w:sz w:val="15"/>
          <w:rtl w:val="1"/>
        </w:rPr>
        <w:t>https://klasresearch.com/report/2025-best-in-klas-awards-software-and-services/3621</w:t>
      </w:r>
    </w:p>
    <w:p>
      <w:pPr>
        <w:spacing w:after="60"/>
        <w:jc w:val="right"/>
        <w:bidi w:val="1"/>
      </w:pPr>
      <w:r>
        <w:rPr>
          <w:rFonts w:ascii="Noto Sans Arabic" w:hAnsi="Noto Sans Arabic" w:eastAsia="Noto Sans Arabic" w:cs="Noto Sans Arabic"/>
          <w:b/>
          <w:color w:val="12304A"/>
          <w:sz w:val="17"/>
          <w:rtl w:val="1"/>
        </w:rPr>
        <w:t xml:space="preserve">[2] Epic — Interoperability — </w:t>
      </w:r>
      <w:r>
        <w:rPr>
          <w:rFonts w:ascii="DejaVu Sans" w:hAnsi="DejaVu Sans" w:eastAsia="DejaVu Sans" w:cs="DejaVu Sans"/>
          <w:color w:val="087E8B"/>
          <w:sz w:val="15"/>
          <w:rtl w:val="1"/>
        </w:rPr>
        <w:t>https://www.epic.com/software/interoperability/</w:t>
      </w:r>
    </w:p>
    <w:p>
      <w:pPr>
        <w:spacing w:after="60"/>
        <w:jc w:val="right"/>
        <w:bidi w:val="1"/>
      </w:pPr>
      <w:r>
        <w:rPr>
          <w:rFonts w:ascii="Noto Sans Arabic" w:hAnsi="Noto Sans Arabic" w:eastAsia="Noto Sans Arabic" w:cs="Noto Sans Arabic"/>
          <w:b/>
          <w:color w:val="12304A"/>
          <w:sz w:val="17"/>
          <w:rtl w:val="1"/>
        </w:rPr>
        <w:t xml:space="preserve">[3] Oracle Health — Clinical Applications — </w:t>
      </w:r>
      <w:r>
        <w:rPr>
          <w:rFonts w:ascii="DejaVu Sans" w:hAnsi="DejaVu Sans" w:eastAsia="DejaVu Sans" w:cs="DejaVu Sans"/>
          <w:color w:val="087E8B"/>
          <w:sz w:val="15"/>
          <w:rtl w:val="1"/>
        </w:rPr>
        <w:t>https://www.oracle.com/health/clinical-applications/</w:t>
      </w:r>
    </w:p>
    <w:p>
      <w:pPr>
        <w:spacing w:after="60"/>
        <w:jc w:val="right"/>
        <w:bidi w:val="1"/>
      </w:pPr>
      <w:r>
        <w:rPr>
          <w:rFonts w:ascii="Noto Sans Arabic" w:hAnsi="Noto Sans Arabic" w:eastAsia="Noto Sans Arabic" w:cs="Noto Sans Arabic"/>
          <w:b/>
          <w:color w:val="12304A"/>
          <w:sz w:val="17"/>
          <w:rtl w:val="1"/>
        </w:rPr>
        <w:t xml:space="preserve">[4] athenahealth — athenaOne — </w:t>
      </w:r>
      <w:r>
        <w:rPr>
          <w:rFonts w:ascii="DejaVu Sans" w:hAnsi="DejaVu Sans" w:eastAsia="DejaVu Sans" w:cs="DejaVu Sans"/>
          <w:color w:val="087E8B"/>
          <w:sz w:val="15"/>
          <w:rtl w:val="1"/>
        </w:rPr>
        <w:t>https://www.athenahealth.com/solutions/athenaone</w:t>
      </w:r>
    </w:p>
    <w:p>
      <w:pPr>
        <w:spacing w:after="60"/>
        <w:jc w:val="right"/>
        <w:bidi w:val="1"/>
      </w:pPr>
      <w:r>
        <w:rPr>
          <w:rFonts w:ascii="Noto Sans Arabic" w:hAnsi="Noto Sans Arabic" w:eastAsia="Noto Sans Arabic" w:cs="Noto Sans Arabic"/>
          <w:b/>
          <w:color w:val="12304A"/>
          <w:sz w:val="17"/>
          <w:rtl w:val="1"/>
        </w:rPr>
        <w:t xml:space="preserve">[5] PioneerRx — Pharmacy Software — </w:t>
      </w:r>
      <w:r>
        <w:rPr>
          <w:rFonts w:ascii="DejaVu Sans" w:hAnsi="DejaVu Sans" w:eastAsia="DejaVu Sans" w:cs="DejaVu Sans"/>
          <w:color w:val="087E8B"/>
          <w:sz w:val="15"/>
          <w:rtl w:val="1"/>
        </w:rPr>
        <w:t>https://www.pioneerrx.com/pharmacy-software</w:t>
      </w:r>
    </w:p>
    <w:p>
      <w:pPr>
        <w:spacing w:after="60"/>
        <w:jc w:val="right"/>
        <w:bidi w:val="1"/>
      </w:pPr>
      <w:r>
        <w:rPr>
          <w:rFonts w:ascii="Noto Sans Arabic" w:hAnsi="Noto Sans Arabic" w:eastAsia="Noto Sans Arabic" w:cs="Noto Sans Arabic"/>
          <w:b/>
          <w:color w:val="12304A"/>
          <w:sz w:val="17"/>
          <w:rtl w:val="1"/>
        </w:rPr>
        <w:t xml:space="preserve">[6] BestRx — Pharmacy Software — </w:t>
      </w:r>
      <w:r>
        <w:rPr>
          <w:rFonts w:ascii="DejaVu Sans" w:hAnsi="DejaVu Sans" w:eastAsia="DejaVu Sans" w:cs="DejaVu Sans"/>
          <w:color w:val="087E8B"/>
          <w:sz w:val="15"/>
          <w:rtl w:val="1"/>
        </w:rPr>
        <w:t>https://www.bestrx.com/pharmacy-software</w:t>
      </w:r>
    </w:p>
    <w:p>
      <w:pPr>
        <w:spacing w:after="60"/>
        <w:jc w:val="right"/>
        <w:bidi w:val="1"/>
      </w:pPr>
      <w:r>
        <w:rPr>
          <w:rFonts w:ascii="Noto Sans Arabic" w:hAnsi="Noto Sans Arabic" w:eastAsia="Noto Sans Arabic" w:cs="Noto Sans Arabic"/>
          <w:b/>
          <w:color w:val="12304A"/>
          <w:sz w:val="17"/>
          <w:rtl w:val="1"/>
        </w:rPr>
        <w:t xml:space="preserve">[7] STARLIMS — Laboratory Information Management System — </w:t>
      </w:r>
      <w:r>
        <w:rPr>
          <w:rFonts w:ascii="DejaVu Sans" w:hAnsi="DejaVu Sans" w:eastAsia="DejaVu Sans" w:cs="DejaVu Sans"/>
          <w:color w:val="087E8B"/>
          <w:sz w:val="15"/>
          <w:rtl w:val="1"/>
        </w:rPr>
        <w:t>https://www.starlims.com/laboratory-information-management-system/</w:t>
      </w:r>
    </w:p>
    <w:p>
      <w:pPr>
        <w:spacing w:after="60"/>
        <w:jc w:val="right"/>
        <w:bidi w:val="1"/>
      </w:pPr>
      <w:r>
        <w:rPr>
          <w:rFonts w:ascii="Noto Sans Arabic" w:hAnsi="Noto Sans Arabic" w:eastAsia="Noto Sans Arabic" w:cs="Noto Sans Arabic"/>
          <w:b/>
          <w:color w:val="12304A"/>
          <w:sz w:val="17"/>
          <w:rtl w:val="1"/>
        </w:rPr>
        <w:t xml:space="preserve">[8] Philips — Diagnostic Informatics / RIS and PACS — </w:t>
      </w:r>
      <w:r>
        <w:rPr>
          <w:rFonts w:ascii="DejaVu Sans" w:hAnsi="DejaVu Sans" w:eastAsia="DejaVu Sans" w:cs="DejaVu Sans"/>
          <w:color w:val="087E8B"/>
          <w:sz w:val="15"/>
          <w:rtl w:val="1"/>
        </w:rPr>
        <w:t>https://www.philips.jo/en/healthcare/solutions/diagnostic-informatics</w:t>
      </w:r>
    </w:p>
    <w:p>
      <w:pPr>
        <w:spacing w:after="60"/>
        <w:jc w:val="right"/>
        <w:bidi w:val="1"/>
      </w:pPr>
      <w:r>
        <w:rPr>
          <w:rFonts w:ascii="Noto Sans Arabic" w:hAnsi="Noto Sans Arabic" w:eastAsia="Noto Sans Arabic" w:cs="Noto Sans Arabic"/>
          <w:b/>
          <w:color w:val="12304A"/>
          <w:sz w:val="17"/>
          <w:rtl w:val="1"/>
        </w:rPr>
        <w:t xml:space="preserve">[9] Sectra — Enterprise Imaging Platform — </w:t>
      </w:r>
      <w:r>
        <w:rPr>
          <w:rFonts w:ascii="DejaVu Sans" w:hAnsi="DejaVu Sans" w:eastAsia="DejaVu Sans" w:cs="DejaVu Sans"/>
          <w:color w:val="087E8B"/>
          <w:sz w:val="15"/>
          <w:rtl w:val="1"/>
        </w:rPr>
        <w:t>https://medical.sectra.com/solutionarea/enterprise-imaging-platform/</w:t>
      </w:r>
    </w:p>
    <w:p>
      <w:pPr>
        <w:spacing w:after="60"/>
        <w:jc w:val="right"/>
        <w:bidi w:val="1"/>
      </w:pPr>
      <w:r>
        <w:rPr>
          <w:rFonts w:ascii="Noto Sans Arabic" w:hAnsi="Noto Sans Arabic" w:eastAsia="Noto Sans Arabic" w:cs="Noto Sans Arabic"/>
          <w:b/>
          <w:color w:val="12304A"/>
          <w:sz w:val="17"/>
          <w:rtl w:val="1"/>
        </w:rPr>
        <w:t xml:space="preserve">[10] IHE International — Technical Frameworks — </w:t>
      </w:r>
      <w:r>
        <w:rPr>
          <w:rFonts w:ascii="DejaVu Sans" w:hAnsi="DejaVu Sans" w:eastAsia="DejaVu Sans" w:cs="DejaVu Sans"/>
          <w:color w:val="087E8B"/>
          <w:sz w:val="15"/>
          <w:rtl w:val="1"/>
        </w:rPr>
        <w:t>https://www.ihe.net/resources/technical_frameworks/</w:t>
      </w:r>
    </w:p>
    <w:p>
      <w:pPr>
        <w:spacing w:after="60"/>
        <w:jc w:val="right"/>
        <w:bidi w:val="1"/>
      </w:pPr>
      <w:r>
        <w:rPr>
          <w:rFonts w:ascii="Noto Sans Arabic" w:hAnsi="Noto Sans Arabic" w:eastAsia="Noto Sans Arabic" w:cs="Noto Sans Arabic"/>
          <w:b/>
          <w:color w:val="12304A"/>
          <w:sz w:val="17"/>
          <w:rtl w:val="1"/>
        </w:rPr>
        <w:t xml:space="preserve">[11] HL7 — FHIR Specification — </w:t>
      </w:r>
      <w:r>
        <w:rPr>
          <w:rFonts w:ascii="DejaVu Sans" w:hAnsi="DejaVu Sans" w:eastAsia="DejaVu Sans" w:cs="DejaVu Sans"/>
          <w:color w:val="087E8B"/>
          <w:sz w:val="15"/>
          <w:rtl w:val="1"/>
        </w:rPr>
        <w:t>https://hl7.org/fhir/</w:t>
      </w:r>
    </w:p>
    <w:p>
      <w:pPr>
        <w:spacing w:after="60"/>
        <w:jc w:val="right"/>
        <w:bidi w:val="1"/>
      </w:pPr>
      <w:r>
        <w:rPr>
          <w:rFonts w:ascii="Noto Sans Arabic" w:hAnsi="Noto Sans Arabic" w:eastAsia="Noto Sans Arabic" w:cs="Noto Sans Arabic"/>
          <w:b/>
          <w:color w:val="12304A"/>
          <w:sz w:val="17"/>
          <w:rtl w:val="1"/>
        </w:rPr>
        <w:t xml:space="preserve">[12] Jordan Ministry of Digital Economy — Personal Data Protection Law No. 24 of 2023 — </w:t>
      </w:r>
      <w:r>
        <w:rPr>
          <w:rFonts w:ascii="DejaVu Sans" w:hAnsi="DejaVu Sans" w:eastAsia="DejaVu Sans" w:cs="DejaVu Sans"/>
          <w:color w:val="087E8B"/>
          <w:sz w:val="15"/>
          <w:rtl w:val="1"/>
        </w:rPr>
        <w:t>https://www.modee.gov.jo/EBV4.0/Root_Storage/EN/1/PDP_Law_-_English_Version-_officail_translation.pdf</w:t>
      </w:r>
    </w:p>
    <w:p>
      <w:pPr>
        <w:spacing w:after="60"/>
        <w:jc w:val="right"/>
        <w:bidi w:val="1"/>
      </w:pPr>
      <w:r>
        <w:rPr>
          <w:rFonts w:ascii="Noto Sans Arabic" w:hAnsi="Noto Sans Arabic" w:eastAsia="Noto Sans Arabic" w:cs="Noto Sans Arabic"/>
          <w:b/>
          <w:color w:val="12304A"/>
          <w:sz w:val="17"/>
          <w:rtl w:val="1"/>
        </w:rPr>
        <w:t xml:space="preserve">[13] Electronic Health Solutions — Hakeem Program — </w:t>
      </w:r>
      <w:r>
        <w:rPr>
          <w:rFonts w:ascii="DejaVu Sans" w:hAnsi="DejaVu Sans" w:eastAsia="DejaVu Sans" w:cs="DejaVu Sans"/>
          <w:color w:val="087E8B"/>
          <w:sz w:val="15"/>
          <w:rtl w:val="1"/>
        </w:rPr>
        <w:t>https://ehs.com.jo/hakeem-program</w:t>
      </w:r>
    </w:p>
    <w:p>
      <w:pPr>
        <w:spacing w:after="60"/>
        <w:jc w:val="right"/>
        <w:bidi w:val="1"/>
      </w:pPr>
      <w:r>
        <w:rPr>
          <w:rFonts w:ascii="Noto Sans Arabic" w:hAnsi="Noto Sans Arabic" w:eastAsia="Noto Sans Arabic" w:cs="Noto Sans Arabic"/>
          <w:b/>
          <w:color w:val="12304A"/>
          <w:sz w:val="17"/>
          <w:rtl w:val="1"/>
        </w:rPr>
        <w:t xml:space="preserve">[14] Electronic Health Solutions — Hakeem Packages — </w:t>
      </w:r>
      <w:r>
        <w:rPr>
          <w:rFonts w:ascii="DejaVu Sans" w:hAnsi="DejaVu Sans" w:eastAsia="DejaVu Sans" w:cs="DejaVu Sans"/>
          <w:color w:val="087E8B"/>
          <w:sz w:val="15"/>
          <w:rtl w:val="1"/>
        </w:rPr>
        <w:t>https://ehs.com.jo/hakeem-program/hakeem-packages</w:t>
      </w:r>
    </w:p>
    <w:p>
      <w:pPr>
        <w:spacing w:after="60"/>
        <w:jc w:val="right"/>
        <w:bidi w:val="1"/>
      </w:pPr>
      <w:r>
        <w:rPr>
          <w:rFonts w:ascii="Noto Sans Arabic" w:hAnsi="Noto Sans Arabic" w:eastAsia="Noto Sans Arabic" w:cs="Noto Sans Arabic"/>
          <w:b/>
          <w:color w:val="12304A"/>
          <w:sz w:val="17"/>
          <w:rtl w:val="1"/>
        </w:rPr>
        <w:t xml:space="preserve">[15] Malaffi — About Malaffi — </w:t>
      </w:r>
      <w:r>
        <w:rPr>
          <w:rFonts w:ascii="DejaVu Sans" w:hAnsi="DejaVu Sans" w:eastAsia="DejaVu Sans" w:cs="DejaVu Sans"/>
          <w:color w:val="087E8B"/>
          <w:sz w:val="15"/>
          <w:rtl w:val="1"/>
        </w:rPr>
        <w:t>https://www.malaffi.ae/</w:t>
      </w:r>
    </w:p>
    <w:p>
      <w:pPr>
        <w:spacing w:after="60"/>
        <w:jc w:val="right"/>
        <w:bidi w:val="1"/>
      </w:pPr>
      <w:r>
        <w:rPr>
          <w:rFonts w:ascii="Noto Sans Arabic" w:hAnsi="Noto Sans Arabic" w:eastAsia="Noto Sans Arabic" w:cs="Noto Sans Arabic"/>
          <w:b/>
          <w:color w:val="12304A"/>
          <w:sz w:val="17"/>
          <w:rtl w:val="1"/>
        </w:rPr>
        <w:t xml:space="preserve">[16] Department of Health Abu Dhabi — Health Information Exchange Standards — </w:t>
      </w:r>
      <w:r>
        <w:rPr>
          <w:rFonts w:ascii="DejaVu Sans" w:hAnsi="DejaVu Sans" w:eastAsia="DejaVu Sans" w:cs="DejaVu Sans"/>
          <w:color w:val="087E8B"/>
          <w:sz w:val="15"/>
          <w:rtl w:val="1"/>
        </w:rPr>
        <w:t>https://www.doh.gov.ae/en/resources/HIE</w:t>
      </w:r>
    </w:p>
    <w:p>
      <w:pPr>
        <w:spacing w:after="60"/>
        <w:jc w:val="right"/>
        <w:bidi w:val="1"/>
      </w:pPr>
      <w:r>
        <w:rPr>
          <w:rFonts w:ascii="Noto Sans Arabic" w:hAnsi="Noto Sans Arabic" w:eastAsia="Noto Sans Arabic" w:cs="Noto Sans Arabic"/>
          <w:b/>
          <w:color w:val="12304A"/>
          <w:sz w:val="17"/>
          <w:rtl w:val="1"/>
        </w:rPr>
        <w:t xml:space="preserve">[17] Dubai Health Authority — NABIDH — </w:t>
      </w:r>
      <w:r>
        <w:rPr>
          <w:rFonts w:ascii="DejaVu Sans" w:hAnsi="DejaVu Sans" w:eastAsia="DejaVu Sans" w:cs="DejaVu Sans"/>
          <w:color w:val="087E8B"/>
          <w:sz w:val="15"/>
          <w:rtl w:val="1"/>
        </w:rPr>
        <w:t>https://nabidh.dha.gov.ae/</w:t>
      </w:r>
    </w:p>
    <w:p>
      <w:pPr>
        <w:spacing w:after="60"/>
        <w:jc w:val="right"/>
        <w:bidi w:val="1"/>
      </w:pPr>
      <w:r>
        <w:rPr>
          <w:rFonts w:ascii="Noto Sans Arabic" w:hAnsi="Noto Sans Arabic" w:eastAsia="Noto Sans Arabic" w:cs="Noto Sans Arabic"/>
          <w:b/>
          <w:color w:val="12304A"/>
          <w:sz w:val="17"/>
          <w:rtl w:val="1"/>
        </w:rPr>
        <w:t xml:space="preserve">[18] Saudi NPHIES — Healthcare Financial Services Implementation Guide — </w:t>
      </w:r>
      <w:r>
        <w:rPr>
          <w:rFonts w:ascii="DejaVu Sans" w:hAnsi="DejaVu Sans" w:eastAsia="DejaVu Sans" w:cs="DejaVu Sans"/>
          <w:color w:val="087E8B"/>
          <w:sz w:val="15"/>
          <w:rtl w:val="1"/>
        </w:rPr>
        <w:t>https://portal.nphies.sa/ig/introduction.html</w:t>
      </w:r>
    </w:p>
    <w:p>
      <w:pPr>
        <w:spacing w:after="60"/>
        <w:jc w:val="right"/>
        <w:bidi w:val="1"/>
      </w:pPr>
      <w:r>
        <w:rPr>
          <w:rFonts w:ascii="Noto Sans Arabic" w:hAnsi="Noto Sans Arabic" w:eastAsia="Noto Sans Arabic" w:cs="Noto Sans Arabic"/>
          <w:b/>
          <w:color w:val="12304A"/>
          <w:sz w:val="17"/>
          <w:rtl w:val="1"/>
        </w:rPr>
        <w:t xml:space="preserve">[19] KLAS Research — 2025 Best in KLAS Global Software — </w:t>
      </w:r>
      <w:r>
        <w:rPr>
          <w:rFonts w:ascii="DejaVu Sans" w:hAnsi="DejaVu Sans" w:eastAsia="DejaVu Sans" w:cs="DejaVu Sans"/>
          <w:color w:val="087E8B"/>
          <w:sz w:val="15"/>
          <w:rtl w:val="1"/>
        </w:rPr>
        <w:t>https://engage.klasresearch.com/press-release/2025-best-in-klas-global-software/</w:t>
      </w:r>
    </w:p>
    <w:p>
      <w:pPr>
        <w:spacing w:after="60"/>
        <w:jc w:val="right"/>
        <w:bidi w:val="1"/>
      </w:pPr>
      <w:r>
        <w:rPr>
          <w:rFonts w:ascii="Noto Sans Arabic" w:hAnsi="Noto Sans Arabic" w:eastAsia="Noto Sans Arabic" w:cs="Noto Sans Arabic"/>
          <w:b/>
          <w:color w:val="12304A"/>
          <w:sz w:val="17"/>
          <w:rtl w:val="1"/>
        </w:rPr>
        <w:t xml:space="preserve">[20] Open Dental — Modules — </w:t>
      </w:r>
      <w:r>
        <w:rPr>
          <w:rFonts w:ascii="DejaVu Sans" w:hAnsi="DejaVu Sans" w:eastAsia="DejaVu Sans" w:cs="DejaVu Sans"/>
          <w:color w:val="087E8B"/>
          <w:sz w:val="15"/>
          <w:rtl w:val="1"/>
        </w:rPr>
        <w:t>https://www.opendental.com/site/0_modules.html</w:t>
      </w:r>
    </w:p>
    <w:p>
      <w:pPr>
        <w:spacing w:after="60"/>
        <w:jc w:val="right"/>
        <w:bidi w:val="1"/>
      </w:pPr>
      <w:r>
        <w:rPr>
          <w:rFonts w:ascii="Noto Sans Arabic" w:hAnsi="Noto Sans Arabic" w:eastAsia="Noto Sans Arabic" w:cs="Noto Sans Arabic"/>
          <w:b/>
          <w:color w:val="12304A"/>
          <w:sz w:val="17"/>
          <w:rtl w:val="1"/>
        </w:rPr>
        <w:t xml:space="preserve">[21] Open Dental — Enterprise Features — </w:t>
      </w:r>
      <w:r>
        <w:rPr>
          <w:rFonts w:ascii="DejaVu Sans" w:hAnsi="DejaVu Sans" w:eastAsia="DejaVu Sans" w:cs="DejaVu Sans"/>
          <w:color w:val="087E8B"/>
          <w:sz w:val="15"/>
          <w:rtl w:val="1"/>
        </w:rPr>
        <w:t>https://opendental.com/site/featuresenterprise.html</w:t>
      </w:r>
    </w:p>
    <w:p>
      <w:pPr>
        <w:spacing w:after="60"/>
        <w:jc w:val="right"/>
        <w:bidi w:val="1"/>
      </w:pPr>
      <w:r>
        <w:rPr>
          <w:rFonts w:ascii="Noto Sans Arabic" w:hAnsi="Noto Sans Arabic" w:eastAsia="Noto Sans Arabic" w:cs="Noto Sans Arabic"/>
          <w:b/>
          <w:color w:val="12304A"/>
          <w:sz w:val="17"/>
          <w:rtl w:val="1"/>
        </w:rPr>
        <w:t xml:space="preserve">[22] KLAS Research — 2025 Best in KLAS Software &amp; Services, including medication inventory categories — </w:t>
      </w:r>
      <w:r>
        <w:rPr>
          <w:rFonts w:ascii="DejaVu Sans" w:hAnsi="DejaVu Sans" w:eastAsia="DejaVu Sans" w:cs="DejaVu Sans"/>
          <w:color w:val="087E8B"/>
          <w:sz w:val="15"/>
          <w:rtl w:val="1"/>
        </w:rPr>
        <w:t>https://klasresearch.com/report/2025-best-in-klas-awards-software-and-services/3621</w:t>
      </w:r>
    </w:p>
    <w:p>
      <w:pPr>
        <w:spacing w:after="60"/>
        <w:jc w:val="right"/>
        <w:bidi w:val="1"/>
      </w:pPr>
      <w:r>
        <w:rPr>
          <w:rFonts w:ascii="Noto Sans Arabic" w:hAnsi="Noto Sans Arabic" w:eastAsia="Noto Sans Arabic" w:cs="Noto Sans Arabic"/>
          <w:b/>
          <w:color w:val="12304A"/>
          <w:sz w:val="17"/>
          <w:rtl w:val="1"/>
        </w:rPr>
        <w:t xml:space="preserve">[23] AGFA HealthCare — Enterprise Imaging — </w:t>
      </w:r>
      <w:r>
        <w:rPr>
          <w:rFonts w:ascii="DejaVu Sans" w:hAnsi="DejaVu Sans" w:eastAsia="DejaVu Sans" w:cs="DejaVu Sans"/>
          <w:color w:val="087E8B"/>
          <w:sz w:val="15"/>
          <w:rtl w:val="1"/>
        </w:rPr>
        <w:t>https://enterpriseimaging.agfahealthcare.com/acton/fs/blocks/showLandingPage/a/44820/p/p-01a9/t/page/fm/0</w:t>
      </w:r>
    </w:p>
    <w:p>
      <w:pPr>
        <w:spacing w:after="60"/>
        <w:jc w:val="right"/>
        <w:bidi w:val="1"/>
      </w:pPr>
      <w:r>
        <w:rPr>
          <w:rFonts w:ascii="Noto Sans Arabic" w:hAnsi="Noto Sans Arabic" w:eastAsia="Noto Sans Arabic" w:cs="Noto Sans Arabic"/>
          <w:b/>
          <w:color w:val="12304A"/>
          <w:sz w:val="17"/>
          <w:rtl w:val="1"/>
        </w:rPr>
        <w:t xml:space="preserve">[24] Electronic Health Solutions — Hakeem expands to 482 facilities, 15 July 2026 — </w:t>
      </w:r>
      <w:r>
        <w:rPr>
          <w:rFonts w:ascii="DejaVu Sans" w:hAnsi="DejaVu Sans" w:eastAsia="DejaVu Sans" w:cs="DejaVu Sans"/>
          <w:color w:val="087E8B"/>
          <w:sz w:val="15"/>
          <w:rtl w:val="1"/>
        </w:rPr>
        <w:t>https://ehs.com.jo/media/news/electronic-health-solutions-expands-reach-hakeem-system-482-healthcare-facilities-across</w:t>
      </w:r>
    </w:p>
    <w:p>
      <w:pPr>
        <w:spacing w:after="60"/>
        <w:jc w:val="right"/>
        <w:bidi w:val="1"/>
      </w:pPr>
      <w:r>
        <w:rPr>
          <w:rFonts w:ascii="Noto Sans Arabic" w:hAnsi="Noto Sans Arabic" w:eastAsia="Noto Sans Arabic" w:cs="Noto Sans Arabic"/>
          <w:b/>
          <w:color w:val="12304A"/>
          <w:sz w:val="17"/>
          <w:rtl w:val="1"/>
        </w:rPr>
        <w:t xml:space="preserve">[25] World Health Organization — Global Strategy on Digital Health 2020–2027 — </w:t>
      </w:r>
      <w:r>
        <w:rPr>
          <w:rFonts w:ascii="DejaVu Sans" w:hAnsi="DejaVu Sans" w:eastAsia="DejaVu Sans" w:cs="DejaVu Sans"/>
          <w:color w:val="087E8B"/>
          <w:sz w:val="15"/>
          <w:rtl w:val="1"/>
        </w:rPr>
        <w:t>https://www.who.int/publications/i/item/9789240116870</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455A64"/>
        <w:sz w:val="16"/>
        <w:rtl w:val="1"/>
      </w:rPr>
      <w:t xml:space="preserve">دراسة مقارنة وليست اعتمادًا طبيًا أو تعاقديًا  •  الصفحة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8" w:space="3" w:color="087E8B"/>
      </w:pBdr>
    </w:pPr>
    <w:r>
      <w:rPr>
        <w:rFonts w:ascii="Noto Sans Arabic" w:hAnsi="Noto Sans Arabic" w:eastAsia="Noto Sans Arabic" w:cs="Noto Sans Arabic"/>
        <w:b/>
        <w:color w:val="087E8B"/>
        <w:sz w:val="16"/>
        <w:rtl w:val="1"/>
      </w:rPr>
      <w:t>دراسة مرجعية | أنظمة المعلومات الصحية العالمية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Arabic" w:hAnsi="Noto Sans Arabic" w:cs="Noto Sans Arabic"/>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Arabic" w:hAnsi="Noto Sans Arabic" w:cs="Noto Sans Arabic"/>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Arabic" w:hAnsi="Noto Sans Arabic" w:cs="Noto Sans Arabic"/>
      <w:b/>
      <w:bCs/>
      <w:color w:val="45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Arabic" w:hAnsi="Noto Sans Arabic" w:cs="Noto Sans Arabic"/>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oto Sans Arabic" w:hAnsi="Noto Sans Arabic" w:cs="Noto Sans Arab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Noto Sans Arabic" w:hAnsi="Noto Sans Arabic" w:cs="Noto Sans Arab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Noto Sans Arabic" w:hAnsi="Noto Sans Arabic" w:cs="Noto Sans Arab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الأنظمة الطبية العالمية: العيادات والمستشفيات والصيدليات والمختبرات والأشعة</dc:title>
  <dc:subject>دراسة مقارنة للأنظمة الطبية وتكييفها للأردن والشرق الأوسط</dc:subject>
  <dc:creator>OpenAI</dc:creator>
  <cp:keywords>EHR, HIS, LIS, PACS, RIS, pharmacy, interoperability, Jordan, Middle East</cp:keywords>
  <dc:description>generated by python-docx</dc:description>
  <cp:lastModifiedBy/>
  <cp:revision>1</cp:revision>
  <dcterms:created xsi:type="dcterms:W3CDTF">2013-12-23T23:15:00Z</dcterms:created>
  <dcterms:modified xsi:type="dcterms:W3CDTF">2013-12-23T23:15:00Z</dcterms:modified>
  <cp:category/>
</cp:coreProperties>
</file>