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45F" w:rsidRDefault="00B4645F" w:rsidP="00B4645F">
      <w:pPr>
        <w:autoSpaceDE w:val="0"/>
        <w:autoSpaceDN w:val="0"/>
        <w:adjustRightInd w:val="0"/>
        <w:spacing w:after="0" w:line="240" w:lineRule="auto"/>
        <w:rPr>
          <w:rFonts w:ascii="segoe-ui_normal" w:hAnsi="segoe-ui_normal"/>
          <w:color w:val="000000"/>
          <w:shd w:val="clear" w:color="auto" w:fill="FFFFFF"/>
        </w:rPr>
      </w:pPr>
      <w:r>
        <w:tab/>
      </w:r>
      <w:r w:rsidRPr="00A830AF">
        <w:rPr>
          <w:rStyle w:val="Heading1Char"/>
        </w:rPr>
        <w:t>HINTS</w:t>
      </w:r>
      <w:r>
        <w:rPr>
          <w:rFonts w:ascii="segoe-ui_normal" w:hAnsi="segoe-ui_normal"/>
          <w:color w:val="000000"/>
          <w:shd w:val="clear" w:color="auto" w:fill="FFFFFF"/>
        </w:rPr>
        <w:br/>
      </w:r>
      <w:proofErr w:type="spellStart"/>
      <w:r>
        <w:rPr>
          <w:rFonts w:ascii="segoe-ui_normal" w:hAnsi="segoe-ui_normal"/>
          <w:color w:val="000000"/>
          <w:shd w:val="clear" w:color="auto" w:fill="FFFFFF"/>
        </w:rPr>
        <w:t>HINTS</w:t>
      </w:r>
      <w:proofErr w:type="spellEnd"/>
      <w:r>
        <w:rPr>
          <w:rFonts w:ascii="segoe-ui_normal" w:hAnsi="segoe-ui_normal"/>
          <w:color w:val="000000"/>
          <w:shd w:val="clear" w:color="auto" w:fill="FFFFFF"/>
        </w:rPr>
        <w:t xml:space="preserve"> – JOIN</w:t>
      </w:r>
    </w:p>
    <w:p w:rsidR="00B4645F" w:rsidRDefault="00B4645F" w:rsidP="00B4645F">
      <w:pPr>
        <w:autoSpaceDE w:val="0"/>
        <w:autoSpaceDN w:val="0"/>
        <w:adjustRightInd w:val="0"/>
        <w:spacing w:after="0" w:line="240" w:lineRule="auto"/>
        <w:rPr>
          <w:rFonts w:ascii="segoe-ui_normal" w:hAnsi="segoe-ui_normal"/>
          <w:color w:val="000000"/>
          <w:shd w:val="clear" w:color="auto" w:fill="FFFFFF"/>
        </w:rPr>
      </w:pPr>
      <w:r>
        <w:rPr>
          <w:rFonts w:ascii="segoe-ui_normal" w:hAnsi="segoe-ui_normal"/>
          <w:color w:val="000000"/>
          <w:shd w:val="clear" w:color="auto" w:fill="FFFFFF"/>
        </w:rPr>
        <w:t xml:space="preserve">HINTS – QUERY </w:t>
      </w:r>
    </w:p>
    <w:p w:rsidR="00B4645F" w:rsidRDefault="00B4645F" w:rsidP="00B4645F">
      <w:pPr>
        <w:pStyle w:val="Heading3"/>
        <w:rPr>
          <w:shd w:val="clear" w:color="auto" w:fill="FFFFFF"/>
        </w:rPr>
      </w:pPr>
      <w:r>
        <w:rPr>
          <w:shd w:val="clear" w:color="auto" w:fill="FFFFFF"/>
        </w:rPr>
        <w:t xml:space="preserve">HINTS- Table </w:t>
      </w:r>
    </w:p>
    <w:p w:rsidR="00B4645F" w:rsidRPr="00A830AF" w:rsidRDefault="00B4645F" w:rsidP="00B4645F">
      <w:pPr>
        <w:pStyle w:val="Heading4"/>
      </w:pPr>
      <w:r w:rsidRPr="00A830AF">
        <w:t>TABLOCK</w:t>
      </w:r>
    </w:p>
    <w:p w:rsidR="00B4645F" w:rsidRPr="00A830AF" w:rsidRDefault="00B4645F" w:rsidP="00B4645F">
      <w:pPr>
        <w:shd w:val="clear" w:color="auto" w:fill="FFFFFF"/>
        <w:spacing w:before="100" w:beforeAutospacing="1"/>
        <w:rPr>
          <w:color w:val="000000"/>
          <w:sz w:val="23"/>
          <w:szCs w:val="23"/>
        </w:rPr>
      </w:pPr>
      <w:r w:rsidRPr="00A830AF">
        <w:rPr>
          <w:color w:val="000000"/>
          <w:sz w:val="23"/>
          <w:szCs w:val="23"/>
        </w:rPr>
        <w:t>Specifies that the acquired lock is applied at the table level. The type of lock that is acquired depends on the statement being executed. For example, a SELECT statement may acquire a shared lock. By specifying TABLOCK, the shared lock is applied to the entire table instead of at the row or page level. If HOLDLOCK is also specified, the table lock is held until the end of the transaction.</w:t>
      </w:r>
    </w:p>
    <w:p w:rsidR="00B4645F" w:rsidRDefault="00B4645F" w:rsidP="00B4645F">
      <w:pPr>
        <w:pStyle w:val="NormalWeb"/>
        <w:shd w:val="clear" w:color="auto" w:fill="FFFFFF"/>
        <w:spacing w:after="0" w:afterAutospacing="0"/>
        <w:rPr>
          <w:rFonts w:asciiTheme="minorHAnsi" w:hAnsiTheme="minorHAnsi"/>
          <w:color w:val="000000"/>
          <w:sz w:val="23"/>
          <w:szCs w:val="23"/>
        </w:rPr>
      </w:pPr>
      <w:r w:rsidRPr="00A830AF">
        <w:rPr>
          <w:rFonts w:asciiTheme="minorHAnsi" w:hAnsiTheme="minorHAnsi"/>
          <w:color w:val="000000"/>
          <w:sz w:val="23"/>
          <w:szCs w:val="23"/>
        </w:rPr>
        <w:t>When importing data into a heap by using the INSERT INTO &lt;</w:t>
      </w:r>
      <w:proofErr w:type="spellStart"/>
      <w:r w:rsidRPr="00A830AF">
        <w:rPr>
          <w:rFonts w:asciiTheme="minorHAnsi" w:hAnsiTheme="minorHAnsi"/>
          <w:color w:val="000000"/>
          <w:sz w:val="23"/>
          <w:szCs w:val="23"/>
        </w:rPr>
        <w:t>target_table</w:t>
      </w:r>
      <w:proofErr w:type="spellEnd"/>
      <w:r w:rsidRPr="00A830AF">
        <w:rPr>
          <w:rFonts w:asciiTheme="minorHAnsi" w:hAnsiTheme="minorHAnsi"/>
          <w:color w:val="000000"/>
          <w:sz w:val="23"/>
          <w:szCs w:val="23"/>
        </w:rPr>
        <w:t>&gt; SELECT &lt;columns&gt; FROM &lt;</w:t>
      </w:r>
      <w:proofErr w:type="spellStart"/>
      <w:r w:rsidRPr="00A830AF">
        <w:rPr>
          <w:rFonts w:asciiTheme="minorHAnsi" w:hAnsiTheme="minorHAnsi"/>
          <w:color w:val="000000"/>
          <w:sz w:val="23"/>
          <w:szCs w:val="23"/>
        </w:rPr>
        <w:t>source_table</w:t>
      </w:r>
      <w:proofErr w:type="spellEnd"/>
      <w:r w:rsidRPr="00A830AF">
        <w:rPr>
          <w:rFonts w:asciiTheme="minorHAnsi" w:hAnsiTheme="minorHAnsi"/>
          <w:color w:val="000000"/>
          <w:sz w:val="23"/>
          <w:szCs w:val="23"/>
        </w:rPr>
        <w:t xml:space="preserve">&gt; statement, you can enable optimized logging and locking for the statement by specifying the TABLOCK hint for the target table. In addition, the recovery model of the database must be set to simple or bulk-logged. </w:t>
      </w:r>
    </w:p>
    <w:p w:rsidR="00B4645F" w:rsidRPr="00A830AF" w:rsidRDefault="00B4645F" w:rsidP="00B4645F">
      <w:pPr>
        <w:pStyle w:val="NormalWeb"/>
        <w:shd w:val="clear" w:color="auto" w:fill="FFFFFF"/>
        <w:spacing w:after="0" w:afterAutospacing="0"/>
        <w:rPr>
          <w:rFonts w:asciiTheme="minorHAnsi" w:hAnsiTheme="minorHAnsi"/>
          <w:color w:val="000000"/>
          <w:sz w:val="23"/>
          <w:szCs w:val="23"/>
        </w:rPr>
      </w:pPr>
      <w:r w:rsidRPr="00A830AF">
        <w:rPr>
          <w:rFonts w:asciiTheme="minorHAnsi" w:hAnsiTheme="minorHAnsi"/>
          <w:color w:val="000000"/>
          <w:sz w:val="23"/>
          <w:szCs w:val="23"/>
        </w:rPr>
        <w:t>When used with the </w:t>
      </w:r>
      <w:hyperlink r:id="rId4" w:history="1">
        <w:r w:rsidRPr="00A830AF">
          <w:rPr>
            <w:rStyle w:val="Hyperlink"/>
            <w:rFonts w:asciiTheme="minorHAnsi" w:eastAsiaTheme="majorEastAsia" w:hAnsiTheme="minorHAnsi"/>
            <w:color w:val="0078D7"/>
            <w:sz w:val="23"/>
            <w:szCs w:val="23"/>
          </w:rPr>
          <w:t>OPENROWSET</w:t>
        </w:r>
      </w:hyperlink>
      <w:r w:rsidRPr="00A830AF">
        <w:rPr>
          <w:rFonts w:asciiTheme="minorHAnsi" w:hAnsiTheme="minorHAnsi"/>
          <w:color w:val="000000"/>
          <w:sz w:val="23"/>
          <w:szCs w:val="23"/>
        </w:rPr>
        <w:t xml:space="preserve"> bulk </w:t>
      </w:r>
      <w:proofErr w:type="spellStart"/>
      <w:r w:rsidRPr="00A830AF">
        <w:rPr>
          <w:rFonts w:asciiTheme="minorHAnsi" w:hAnsiTheme="minorHAnsi"/>
          <w:color w:val="000000"/>
          <w:sz w:val="23"/>
          <w:szCs w:val="23"/>
        </w:rPr>
        <w:t>rowset</w:t>
      </w:r>
      <w:proofErr w:type="spellEnd"/>
      <w:r w:rsidRPr="00A830AF">
        <w:rPr>
          <w:rFonts w:asciiTheme="minorHAnsi" w:hAnsiTheme="minorHAnsi"/>
          <w:color w:val="000000"/>
          <w:sz w:val="23"/>
          <w:szCs w:val="23"/>
        </w:rPr>
        <w:t xml:space="preserve"> provider to import data into a table, TABLOCK enables multiple clients to concurrently load data into the target table with optimized logging and locking.</w:t>
      </w:r>
    </w:p>
    <w:p w:rsidR="00B4645F" w:rsidRPr="00A830AF" w:rsidRDefault="00B4645F" w:rsidP="00B4645F">
      <w:pPr>
        <w:autoSpaceDE w:val="0"/>
        <w:autoSpaceDN w:val="0"/>
        <w:adjustRightInd w:val="0"/>
        <w:spacing w:after="0" w:line="240" w:lineRule="auto"/>
        <w:rPr>
          <w:rFonts w:cs="Calibri"/>
          <w:sz w:val="23"/>
          <w:szCs w:val="23"/>
        </w:rPr>
      </w:pPr>
    </w:p>
    <w:p w:rsidR="00B4645F" w:rsidRDefault="00B4645F" w:rsidP="00B4645F">
      <w:pPr>
        <w:autoSpaceDE w:val="0"/>
        <w:autoSpaceDN w:val="0"/>
        <w:adjustRightInd w:val="0"/>
        <w:spacing w:after="0" w:line="240" w:lineRule="auto"/>
        <w:rPr>
          <w:rFonts w:ascii="Calibri" w:hAnsi="Calibri" w:cs="Calibri"/>
          <w:sz w:val="21"/>
          <w:szCs w:val="21"/>
        </w:rPr>
      </w:pPr>
    </w:p>
    <w:p w:rsidR="00B4645F" w:rsidRPr="00EA0F42" w:rsidRDefault="00B4645F" w:rsidP="00B4645F">
      <w:pPr>
        <w:pStyle w:val="Heading4"/>
      </w:pPr>
      <w:r w:rsidRPr="00EA0F42">
        <w:t>HOLDLOCK</w:t>
      </w:r>
    </w:p>
    <w:p w:rsidR="00B4645F" w:rsidRPr="008B4C2F" w:rsidRDefault="00B4645F" w:rsidP="00B4645F">
      <w:pPr>
        <w:autoSpaceDE w:val="0"/>
        <w:autoSpaceDN w:val="0"/>
        <w:adjustRightInd w:val="0"/>
        <w:spacing w:after="0" w:line="240" w:lineRule="auto"/>
        <w:rPr>
          <w:color w:val="000000"/>
          <w:sz w:val="23"/>
          <w:szCs w:val="23"/>
          <w:shd w:val="clear" w:color="auto" w:fill="FFFFFF"/>
        </w:rPr>
      </w:pPr>
      <w:r w:rsidRPr="008B4C2F">
        <w:rPr>
          <w:color w:val="000000"/>
          <w:sz w:val="23"/>
          <w:szCs w:val="23"/>
          <w:shd w:val="clear" w:color="auto" w:fill="FFFFFF"/>
        </w:rPr>
        <w:t>Is equivalent to SERIALIZABLE. HOLDLOCK applies only to the table or view for which it is specified and only for the duration of the transaction defined by the statement that it is used in. HOLDLOCK cannot be used in a SELECT statement that includes the FOR BROWSE option.</w:t>
      </w:r>
    </w:p>
    <w:p w:rsidR="00B4645F" w:rsidRDefault="00B4645F" w:rsidP="00B4645F">
      <w:pPr>
        <w:pStyle w:val="Heading4"/>
        <w:rPr>
          <w:rFonts w:ascii="Calibri" w:hAnsi="Calibri" w:cs="Calibri"/>
          <w:sz w:val="21"/>
          <w:szCs w:val="21"/>
        </w:rPr>
      </w:pPr>
      <w:r>
        <w:rPr>
          <w:rFonts w:ascii="Calibri" w:hAnsi="Calibri" w:cs="Calibri"/>
          <w:sz w:val="21"/>
          <w:szCs w:val="21"/>
        </w:rPr>
        <w:t xml:space="preserve"> </w:t>
      </w:r>
      <w:r w:rsidRPr="00EA0F42">
        <w:t>ROWLOCK</w:t>
      </w:r>
    </w:p>
    <w:p w:rsidR="00B4645F" w:rsidRPr="00EA0F42" w:rsidRDefault="00B4645F" w:rsidP="00B4645F">
      <w:pPr>
        <w:autoSpaceDE w:val="0"/>
        <w:autoSpaceDN w:val="0"/>
        <w:adjustRightInd w:val="0"/>
        <w:spacing w:after="0" w:line="240" w:lineRule="auto"/>
        <w:rPr>
          <w:color w:val="000000"/>
          <w:sz w:val="23"/>
          <w:szCs w:val="23"/>
          <w:shd w:val="clear" w:color="auto" w:fill="FFFFFF"/>
        </w:rPr>
      </w:pPr>
      <w:r w:rsidRPr="00EA0F42">
        <w:rPr>
          <w:color w:val="000000"/>
          <w:sz w:val="23"/>
          <w:szCs w:val="23"/>
          <w:shd w:val="clear" w:color="auto" w:fill="FFFFFF"/>
        </w:rPr>
        <w:t>Specifies that row locks are taken when page or table locks are ordinarily taken. When specified in transactions operating at the SNAPSHOT isolation level, row locks are not taken unless ROWLOCK is combined with other table hints that require locks, such as UPDLOCK and HOLDLOCK.</w:t>
      </w:r>
    </w:p>
    <w:p w:rsidR="00B4645F" w:rsidRDefault="00B4645F" w:rsidP="00B4645F">
      <w:pPr>
        <w:pStyle w:val="Heading4"/>
        <w:rPr>
          <w:rFonts w:ascii="Calibri" w:hAnsi="Calibri" w:cs="Calibri"/>
          <w:sz w:val="21"/>
          <w:szCs w:val="21"/>
        </w:rPr>
      </w:pPr>
      <w:r>
        <w:rPr>
          <w:rFonts w:ascii="Calibri" w:hAnsi="Calibri" w:cs="Calibri"/>
          <w:sz w:val="21"/>
          <w:szCs w:val="21"/>
        </w:rPr>
        <w:t xml:space="preserve"> XLOCK</w:t>
      </w:r>
    </w:p>
    <w:p w:rsidR="00B4645F" w:rsidRPr="00791790" w:rsidRDefault="00B4645F" w:rsidP="00B4645F">
      <w:pPr>
        <w:autoSpaceDE w:val="0"/>
        <w:autoSpaceDN w:val="0"/>
        <w:adjustRightInd w:val="0"/>
        <w:spacing w:after="0" w:line="240" w:lineRule="auto"/>
        <w:rPr>
          <w:color w:val="000000"/>
          <w:sz w:val="23"/>
          <w:szCs w:val="23"/>
          <w:shd w:val="clear" w:color="auto" w:fill="FFFFFF"/>
        </w:rPr>
      </w:pPr>
      <w:r w:rsidRPr="00791790">
        <w:rPr>
          <w:color w:val="000000"/>
          <w:sz w:val="23"/>
          <w:szCs w:val="23"/>
          <w:shd w:val="clear" w:color="auto" w:fill="FFFFFF"/>
        </w:rPr>
        <w:t>Specifies that exclusive locks are to be taken and held until the transaction completes. If specified with ROWLOCK, PAGLOCK, or TABLOCK, the exclusive locks apply to the appropriate level of granularity.</w:t>
      </w:r>
    </w:p>
    <w:p w:rsidR="00B4645F" w:rsidRDefault="00B4645F" w:rsidP="00B4645F">
      <w:pPr>
        <w:pStyle w:val="Heading4"/>
        <w:rPr>
          <w:rFonts w:ascii="Calibri" w:hAnsi="Calibri" w:cs="Calibri"/>
          <w:sz w:val="21"/>
          <w:szCs w:val="21"/>
        </w:rPr>
      </w:pPr>
      <w:r>
        <w:rPr>
          <w:rFonts w:ascii="Calibri" w:hAnsi="Calibri" w:cs="Calibri"/>
          <w:sz w:val="21"/>
          <w:szCs w:val="21"/>
        </w:rPr>
        <w:lastRenderedPageBreak/>
        <w:t>UPDLOCK</w:t>
      </w:r>
    </w:p>
    <w:p w:rsidR="00B4645F" w:rsidRPr="00FA2846" w:rsidRDefault="00B4645F" w:rsidP="00B4645F">
      <w:pPr>
        <w:pStyle w:val="Heading4"/>
        <w:rPr>
          <w:rFonts w:asciiTheme="minorHAnsi" w:eastAsia="Times New Roman" w:hAnsiTheme="minorHAnsi" w:cs="Times New Roman"/>
          <w:b w:val="0"/>
          <w:i w:val="0"/>
          <w:color w:val="000000"/>
          <w:sz w:val="23"/>
          <w:szCs w:val="23"/>
        </w:rPr>
      </w:pPr>
      <w:r w:rsidRPr="00FA2846">
        <w:rPr>
          <w:rFonts w:asciiTheme="minorHAnsi" w:eastAsia="Times New Roman" w:hAnsiTheme="minorHAnsi" w:cs="Times New Roman"/>
          <w:b w:val="0"/>
          <w:i w:val="0"/>
          <w:color w:val="000000"/>
          <w:sz w:val="23"/>
          <w:szCs w:val="23"/>
        </w:rPr>
        <w:t>Specifies that update locks are to be taken and held until the transaction completes. UPDLOCK takes update locks for read operations only at the row-level or page-level. If UPDLOCK is combined with TABLOCK, or a table-level lock is taken for some other reason, an exclusive (X) lock will be taken instead.</w:t>
      </w:r>
    </w:p>
    <w:p w:rsidR="00B4645F" w:rsidRDefault="00B4645F" w:rsidP="00B4645F">
      <w:pPr>
        <w:shd w:val="clear" w:color="auto" w:fill="FFFFFF"/>
        <w:spacing w:before="100" w:beforeAutospacing="1" w:after="0" w:line="240" w:lineRule="auto"/>
        <w:rPr>
          <w:rFonts w:eastAsia="Times New Roman" w:cs="Times New Roman"/>
          <w:color w:val="000000"/>
          <w:sz w:val="23"/>
          <w:szCs w:val="23"/>
        </w:rPr>
      </w:pPr>
      <w:r w:rsidRPr="00FA2846">
        <w:rPr>
          <w:rFonts w:eastAsia="Times New Roman" w:cs="Times New Roman"/>
          <w:color w:val="000000"/>
          <w:sz w:val="23"/>
          <w:szCs w:val="23"/>
        </w:rPr>
        <w:t>When UPDLOCK is specified, the READCOMMITTED and READCOMMITTEDLOCK isolation level hints are ignored. For example, if the isolation level of the session is set to SERIALIZABLE and a query specifies (UPDLOCK, READCOMMITTED), the READCOMMITTED hint is ignored and the transaction is run using the SERIALIZABLE isolation level.</w:t>
      </w:r>
    </w:p>
    <w:p w:rsidR="00B4645F" w:rsidRDefault="00B4645F" w:rsidP="00B4645F">
      <w:pPr>
        <w:autoSpaceDE w:val="0"/>
        <w:autoSpaceDN w:val="0"/>
        <w:adjustRightInd w:val="0"/>
        <w:spacing w:after="0" w:line="240" w:lineRule="auto"/>
        <w:rPr>
          <w:rFonts w:ascii="Calibri" w:hAnsi="Calibri" w:cs="Calibri"/>
          <w:sz w:val="21"/>
          <w:szCs w:val="21"/>
        </w:rPr>
      </w:pPr>
    </w:p>
    <w:p w:rsidR="00B4645F" w:rsidRDefault="00B4645F" w:rsidP="00B4645F">
      <w:pPr>
        <w:autoSpaceDE w:val="0"/>
        <w:autoSpaceDN w:val="0"/>
        <w:adjustRightInd w:val="0"/>
        <w:spacing w:after="0" w:line="240" w:lineRule="auto"/>
        <w:rPr>
          <w:rFonts w:ascii="Calibri" w:hAnsi="Calibri" w:cs="Calibri"/>
          <w:sz w:val="21"/>
          <w:szCs w:val="21"/>
        </w:rPr>
      </w:pPr>
      <w:r>
        <w:rPr>
          <w:rFonts w:ascii="Calibri" w:hAnsi="Calibri" w:cs="Calibri"/>
          <w:sz w:val="21"/>
          <w:szCs w:val="21"/>
        </w:rPr>
        <w:t>FORCESCAN</w:t>
      </w:r>
    </w:p>
    <w:p w:rsidR="00B4645F" w:rsidRDefault="00B4645F" w:rsidP="00B4645F">
      <w:pPr>
        <w:autoSpaceDE w:val="0"/>
        <w:autoSpaceDN w:val="0"/>
        <w:adjustRightInd w:val="0"/>
        <w:spacing w:after="0" w:line="240" w:lineRule="auto"/>
        <w:rPr>
          <w:rFonts w:ascii="Calibri" w:hAnsi="Calibri" w:cs="Calibri"/>
          <w:sz w:val="21"/>
          <w:szCs w:val="21"/>
        </w:rPr>
      </w:pPr>
      <w:r>
        <w:rPr>
          <w:rFonts w:ascii="Calibri" w:hAnsi="Calibri" w:cs="Calibri"/>
          <w:sz w:val="21"/>
          <w:szCs w:val="21"/>
        </w:rPr>
        <w:t>FORCESEEK</w:t>
      </w:r>
    </w:p>
    <w:p w:rsidR="00B4645F" w:rsidRDefault="00B4645F" w:rsidP="00B4645F">
      <w:pPr>
        <w:autoSpaceDE w:val="0"/>
        <w:autoSpaceDN w:val="0"/>
        <w:adjustRightInd w:val="0"/>
        <w:spacing w:after="0" w:line="240" w:lineRule="auto"/>
        <w:rPr>
          <w:rFonts w:ascii="Calibri" w:hAnsi="Calibri" w:cs="Calibri"/>
          <w:sz w:val="21"/>
          <w:szCs w:val="21"/>
        </w:rPr>
      </w:pPr>
    </w:p>
    <w:p w:rsidR="00B4645F" w:rsidRDefault="00B4645F" w:rsidP="00B4645F">
      <w:pPr>
        <w:autoSpaceDE w:val="0"/>
        <w:autoSpaceDN w:val="0"/>
        <w:adjustRightInd w:val="0"/>
        <w:spacing w:after="0" w:line="240" w:lineRule="auto"/>
        <w:rPr>
          <w:rFonts w:ascii="segoe-ui_normal" w:hAnsi="segoe-ui_normal"/>
          <w:color w:val="000000"/>
          <w:shd w:val="clear" w:color="auto" w:fill="FFFFFF"/>
        </w:rPr>
      </w:pPr>
      <w:r>
        <w:rPr>
          <w:rFonts w:ascii="segoe-ui_normal" w:hAnsi="segoe-ui_normal"/>
          <w:color w:val="000000"/>
          <w:shd w:val="clear" w:color="auto" w:fill="FFFFFF"/>
        </w:rPr>
        <w:t>Granularity hints: PAGLOCK, NOLOCK, READCOMMITTEDLOCK, ROWLOCK, TABLOCK, or TABLOCKX.</w:t>
      </w:r>
    </w:p>
    <w:p w:rsidR="00B4645F" w:rsidRDefault="00B4645F" w:rsidP="00B4645F">
      <w:pPr>
        <w:autoSpaceDE w:val="0"/>
        <w:autoSpaceDN w:val="0"/>
        <w:adjustRightInd w:val="0"/>
        <w:spacing w:after="0" w:line="240" w:lineRule="auto"/>
        <w:rPr>
          <w:rFonts w:ascii="segoe-ui_normal" w:hAnsi="segoe-ui_normal"/>
          <w:color w:val="000000"/>
          <w:shd w:val="clear" w:color="auto" w:fill="FFFFFF"/>
        </w:rPr>
      </w:pPr>
      <w:r>
        <w:rPr>
          <w:rFonts w:ascii="segoe-ui_normal" w:hAnsi="segoe-ui_normal"/>
          <w:color w:val="000000"/>
          <w:shd w:val="clear" w:color="auto" w:fill="FFFFFF"/>
        </w:rPr>
        <w:t>Isolation level hints: HOLDLOCK, NOLOCK, READCOMMITTED, REPEATABLEREAD, SERIALIZABLE.</w:t>
      </w:r>
    </w:p>
    <w:p w:rsidR="00B4645F" w:rsidRDefault="00B4645F" w:rsidP="00B4645F">
      <w:pPr>
        <w:autoSpaceDE w:val="0"/>
        <w:autoSpaceDN w:val="0"/>
        <w:adjustRightInd w:val="0"/>
        <w:spacing w:after="0" w:line="240" w:lineRule="auto"/>
        <w:rPr>
          <w:rFonts w:ascii="segoe-ui_normal" w:hAnsi="segoe-ui_normal"/>
          <w:color w:val="000000"/>
          <w:shd w:val="clear" w:color="auto" w:fill="FFFFFF"/>
        </w:rPr>
      </w:pPr>
    </w:p>
    <w:p w:rsidR="0088105D" w:rsidRDefault="0088105D" w:rsidP="00B4645F">
      <w:pPr>
        <w:tabs>
          <w:tab w:val="left" w:pos="1500"/>
        </w:tabs>
      </w:pPr>
      <w:bookmarkStart w:id="0" w:name="_GoBack"/>
      <w:bookmarkEnd w:id="0"/>
    </w:p>
    <w:sectPr w:rsidR="00881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_normal">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45F"/>
    <w:rsid w:val="0088105D"/>
    <w:rsid w:val="00B46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B0834-BD9B-43B3-8776-B036BDF5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45F"/>
    <w:pPr>
      <w:spacing w:after="200" w:line="276" w:lineRule="auto"/>
    </w:pPr>
    <w:rPr>
      <w:lang w:val="en-US"/>
    </w:rPr>
  </w:style>
  <w:style w:type="paragraph" w:styleId="Heading1">
    <w:name w:val="heading 1"/>
    <w:basedOn w:val="Normal"/>
    <w:next w:val="Normal"/>
    <w:link w:val="Heading1Char"/>
    <w:uiPriority w:val="9"/>
    <w:qFormat/>
    <w:rsid w:val="00B4645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B464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4645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45F"/>
    <w:rPr>
      <w:rFonts w:asciiTheme="majorHAnsi" w:eastAsiaTheme="majorEastAsia" w:hAnsiTheme="majorHAnsi" w:cstheme="majorBidi"/>
      <w:b/>
      <w:bCs/>
      <w:color w:val="2E74B5" w:themeColor="accent1" w:themeShade="BF"/>
      <w:sz w:val="28"/>
      <w:szCs w:val="28"/>
      <w:lang w:val="en-US"/>
    </w:rPr>
  </w:style>
  <w:style w:type="character" w:customStyle="1" w:styleId="Heading3Char">
    <w:name w:val="Heading 3 Char"/>
    <w:basedOn w:val="DefaultParagraphFont"/>
    <w:link w:val="Heading3"/>
    <w:uiPriority w:val="9"/>
    <w:rsid w:val="00B4645F"/>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B4645F"/>
    <w:rPr>
      <w:rFonts w:asciiTheme="majorHAnsi" w:eastAsiaTheme="majorEastAsia" w:hAnsiTheme="majorHAnsi" w:cstheme="majorBidi"/>
      <w:b/>
      <w:bCs/>
      <w:i/>
      <w:iCs/>
      <w:color w:val="5B9BD5" w:themeColor="accent1"/>
      <w:lang w:val="en-US"/>
    </w:rPr>
  </w:style>
  <w:style w:type="character" w:styleId="Hyperlink">
    <w:name w:val="Hyperlink"/>
    <w:basedOn w:val="DefaultParagraphFont"/>
    <w:uiPriority w:val="99"/>
    <w:unhideWhenUsed/>
    <w:rsid w:val="00B4645F"/>
    <w:rPr>
      <w:color w:val="0563C1" w:themeColor="hyperlink"/>
      <w:u w:val="single"/>
    </w:rPr>
  </w:style>
  <w:style w:type="paragraph" w:styleId="NormalWeb">
    <w:name w:val="Normal (Web)"/>
    <w:basedOn w:val="Normal"/>
    <w:uiPriority w:val="99"/>
    <w:unhideWhenUsed/>
    <w:rsid w:val="00B464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en-us/sql/t-sql/functions/openrowset-transact-sql?view=sql-server-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2020-01-05T15:11:00Z</dcterms:created>
  <dcterms:modified xsi:type="dcterms:W3CDTF">2020-01-05T15:11:00Z</dcterms:modified>
</cp:coreProperties>
</file>