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01B" w:rsidRDefault="0031101B" w:rsidP="0031101B">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 xml:space="preserve">Performance improvements in </w:t>
      </w:r>
      <w:proofErr w:type="spellStart"/>
      <w:r>
        <w:rPr>
          <w:rFonts w:ascii="segoe-ui_normal" w:hAnsi="segoe-ui_normal"/>
          <w:b w:val="0"/>
          <w:bCs w:val="0"/>
          <w:color w:val="000000"/>
        </w:rPr>
        <w:t>tempdb</w:t>
      </w:r>
      <w:proofErr w:type="spellEnd"/>
      <w:r>
        <w:rPr>
          <w:rFonts w:ascii="segoe-ui_normal" w:hAnsi="segoe-ui_normal"/>
          <w:b w:val="0"/>
          <w:bCs w:val="0"/>
          <w:color w:val="000000"/>
        </w:rPr>
        <w:t xml:space="preserve"> for SQL Server</w:t>
      </w:r>
    </w:p>
    <w:p w:rsidR="0031101B" w:rsidRDefault="0031101B" w:rsidP="0031101B">
      <w:pPr>
        <w:pStyle w:val="NormalWeb"/>
        <w:shd w:val="clear" w:color="auto" w:fill="FFFFFF"/>
        <w:spacing w:after="0" w:afterAutospacing="0"/>
        <w:rPr>
          <w:rFonts w:ascii="segoe-ui_normal" w:hAnsi="segoe-ui_normal"/>
          <w:color w:val="000000"/>
        </w:rPr>
      </w:pPr>
      <w:r>
        <w:rPr>
          <w:rFonts w:ascii="segoe-ui_normal" w:hAnsi="segoe-ui_normal"/>
          <w:color w:val="000000"/>
        </w:rPr>
        <w:t>Starting with SQL Server 2016 (13.x), </w:t>
      </w:r>
      <w:proofErr w:type="spellStart"/>
      <w:r>
        <w:rPr>
          <w:rStyle w:val="Strong"/>
          <w:rFonts w:ascii="segoe-ui_bold" w:hAnsi="segoe-ui_bold"/>
          <w:color w:val="000000"/>
        </w:rPr>
        <w:t>tempdb</w:t>
      </w:r>
      <w:proofErr w:type="spellEnd"/>
      <w:r>
        <w:rPr>
          <w:rFonts w:ascii="segoe-ui_normal" w:hAnsi="segoe-ui_normal"/>
          <w:color w:val="000000"/>
        </w:rPr>
        <w:t> performance is further optimized in the following ways:</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Temporary tables and table variables are cached. Caching allows operations that drop and create the temporary objects to execute very quickly and reduces page allocation contention.</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Allocation page latching protocol is improved to reduce the number of UP (update) latches that are used.</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Logging overhead for </w:t>
      </w:r>
      <w:proofErr w:type="spellStart"/>
      <w:r>
        <w:rPr>
          <w:rStyle w:val="Strong"/>
          <w:rFonts w:ascii="segoe-ui_bold" w:hAnsi="segoe-ui_bold"/>
          <w:color w:val="000000"/>
        </w:rPr>
        <w:t>tempdb</w:t>
      </w:r>
      <w:proofErr w:type="spellEnd"/>
      <w:r>
        <w:rPr>
          <w:rFonts w:ascii="segoe-ui_normal" w:hAnsi="segoe-ui_normal"/>
          <w:color w:val="000000"/>
        </w:rPr>
        <w:t> is reduced to reduce disk I/O bandwidth consumption on the </w:t>
      </w:r>
      <w:proofErr w:type="spellStart"/>
      <w:r>
        <w:rPr>
          <w:rStyle w:val="Strong"/>
          <w:rFonts w:ascii="segoe-ui_bold" w:hAnsi="segoe-ui_bold"/>
          <w:color w:val="000000"/>
        </w:rPr>
        <w:t>tempdb</w:t>
      </w:r>
      <w:proofErr w:type="spellEnd"/>
      <w:r>
        <w:rPr>
          <w:rFonts w:ascii="segoe-ui_normal" w:hAnsi="segoe-ui_normal"/>
          <w:color w:val="000000"/>
        </w:rPr>
        <w:t> log file.</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Setup adds multiple </w:t>
      </w:r>
      <w:proofErr w:type="spellStart"/>
      <w:r>
        <w:rPr>
          <w:rFonts w:ascii="segoe-ui_normal" w:hAnsi="segoe-ui_normal"/>
          <w:color w:val="000000"/>
        </w:rPr>
        <w:t>tempdb</w:t>
      </w:r>
      <w:proofErr w:type="spellEnd"/>
      <w:r>
        <w:rPr>
          <w:rFonts w:ascii="segoe-ui_normal" w:hAnsi="segoe-ui_normal"/>
          <w:color w:val="000000"/>
        </w:rPr>
        <w:t xml:space="preserve"> data files during a new instance installation. This task can be accomplished with the new UI input control on the </w:t>
      </w:r>
      <w:r>
        <w:rPr>
          <w:rStyle w:val="Strong"/>
          <w:rFonts w:ascii="segoe-ui_bold" w:hAnsi="segoe-ui_bold"/>
          <w:color w:val="000000"/>
        </w:rPr>
        <w:t>Database Engine Configuration</w:t>
      </w:r>
      <w:r>
        <w:rPr>
          <w:rFonts w:ascii="segoe-ui_normal" w:hAnsi="segoe-ui_normal"/>
          <w:color w:val="000000"/>
        </w:rPr>
        <w:t xml:space="preserve"> section and a command-line parameter /SQLTEMPDBFILECOUNT. By default, setup adds as many </w:t>
      </w:r>
      <w:proofErr w:type="spellStart"/>
      <w:r>
        <w:rPr>
          <w:rFonts w:ascii="segoe-ui_normal" w:hAnsi="segoe-ui_normal"/>
          <w:color w:val="000000"/>
        </w:rPr>
        <w:t>tempdb</w:t>
      </w:r>
      <w:proofErr w:type="spellEnd"/>
      <w:r>
        <w:rPr>
          <w:rFonts w:ascii="segoe-ui_normal" w:hAnsi="segoe-ui_normal"/>
          <w:color w:val="000000"/>
        </w:rPr>
        <w:t xml:space="preserve"> data files as the logical processor count or eight, whichever is lower.</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When there are multiple </w:t>
      </w:r>
      <w:proofErr w:type="spellStart"/>
      <w:r>
        <w:rPr>
          <w:rStyle w:val="Strong"/>
          <w:rFonts w:ascii="segoe-ui_bold" w:hAnsi="segoe-ui_bold"/>
          <w:color w:val="000000"/>
        </w:rPr>
        <w:t>tempdb</w:t>
      </w:r>
      <w:proofErr w:type="spellEnd"/>
      <w:r>
        <w:rPr>
          <w:rFonts w:ascii="segoe-ui_normal" w:hAnsi="segoe-ui_normal"/>
          <w:color w:val="000000"/>
        </w:rPr>
        <w:t xml:space="preserve"> data files, all files </w:t>
      </w:r>
      <w:proofErr w:type="spellStart"/>
      <w:r>
        <w:rPr>
          <w:rFonts w:ascii="segoe-ui_normal" w:hAnsi="segoe-ui_normal"/>
          <w:color w:val="000000"/>
        </w:rPr>
        <w:t>autogrow</w:t>
      </w:r>
      <w:proofErr w:type="spellEnd"/>
      <w:r>
        <w:rPr>
          <w:rFonts w:ascii="segoe-ui_normal" w:hAnsi="segoe-ui_normal"/>
          <w:color w:val="000000"/>
        </w:rPr>
        <w:t xml:space="preserve"> at same time and by the same amount depending on growth settings. Trace flag 1117 is no longer required.</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All allocations in </w:t>
      </w:r>
      <w:proofErr w:type="spellStart"/>
      <w:r>
        <w:rPr>
          <w:rStyle w:val="Strong"/>
          <w:rFonts w:ascii="segoe-ui_bold" w:hAnsi="segoe-ui_bold"/>
          <w:color w:val="000000"/>
        </w:rPr>
        <w:t>tempdb</w:t>
      </w:r>
      <w:proofErr w:type="spellEnd"/>
      <w:r>
        <w:rPr>
          <w:rFonts w:ascii="segoe-ui_normal" w:hAnsi="segoe-ui_normal"/>
          <w:color w:val="000000"/>
        </w:rPr>
        <w:t> use uniform extents. </w:t>
      </w:r>
      <w:hyperlink r:id="rId5" w:history="1">
        <w:r>
          <w:rPr>
            <w:rStyle w:val="Hyperlink"/>
            <w:rFonts w:ascii="segoe-ui_normal" w:hAnsi="segoe-ui_normal"/>
            <w:color w:val="0078D7"/>
          </w:rPr>
          <w:t>Trace flag 1118</w:t>
        </w:r>
      </w:hyperlink>
      <w:r>
        <w:rPr>
          <w:rFonts w:ascii="segoe-ui_normal" w:hAnsi="segoe-ui_normal"/>
          <w:color w:val="000000"/>
        </w:rPr>
        <w:t> is no longer required.</w:t>
      </w:r>
    </w:p>
    <w:p w:rsidR="0031101B" w:rsidRDefault="0031101B" w:rsidP="0031101B">
      <w:pPr>
        <w:numPr>
          <w:ilvl w:val="0"/>
          <w:numId w:val="1"/>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For the primary </w:t>
      </w:r>
      <w:proofErr w:type="spellStart"/>
      <w:r>
        <w:rPr>
          <w:rFonts w:ascii="segoe-ui_normal" w:hAnsi="segoe-ui_normal"/>
          <w:color w:val="000000"/>
        </w:rPr>
        <w:t>filegroup</w:t>
      </w:r>
      <w:proofErr w:type="spellEnd"/>
      <w:r>
        <w:rPr>
          <w:rFonts w:ascii="segoe-ui_normal" w:hAnsi="segoe-ui_normal"/>
          <w:color w:val="000000"/>
        </w:rPr>
        <w:t>, the AUTOGROW_ALL_FILES property is turned on and the property cannot be modified.</w:t>
      </w:r>
    </w:p>
    <w:p w:rsidR="0031101B" w:rsidRDefault="0031101B" w:rsidP="0031101B">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 xml:space="preserve">Capacity Planning for </w:t>
      </w:r>
      <w:proofErr w:type="spellStart"/>
      <w:r>
        <w:rPr>
          <w:rFonts w:ascii="segoe-ui_normal" w:hAnsi="segoe-ui_normal"/>
          <w:b w:val="0"/>
          <w:bCs w:val="0"/>
          <w:color w:val="000000"/>
        </w:rPr>
        <w:t>tempdb</w:t>
      </w:r>
      <w:proofErr w:type="spellEnd"/>
      <w:r>
        <w:rPr>
          <w:rFonts w:ascii="segoe-ui_normal" w:hAnsi="segoe-ui_normal"/>
          <w:b w:val="0"/>
          <w:bCs w:val="0"/>
          <w:color w:val="000000"/>
        </w:rPr>
        <w:t xml:space="preserve"> in SQL Server</w:t>
      </w:r>
    </w:p>
    <w:p w:rsidR="0031101B" w:rsidRDefault="0031101B" w:rsidP="0031101B">
      <w:pPr>
        <w:pStyle w:val="NormalWeb"/>
        <w:shd w:val="clear" w:color="auto" w:fill="FFFFFF"/>
        <w:spacing w:after="0" w:afterAutospacing="0"/>
        <w:rPr>
          <w:rFonts w:ascii="segoe-ui_normal" w:hAnsi="segoe-ui_normal"/>
          <w:color w:val="000000"/>
        </w:rPr>
      </w:pPr>
      <w:r>
        <w:rPr>
          <w:rFonts w:ascii="segoe-ui_normal" w:hAnsi="segoe-ui_normal"/>
          <w:color w:val="000000"/>
        </w:rPr>
        <w:t xml:space="preserve">Determining the appropriate size for </w:t>
      </w:r>
      <w:proofErr w:type="spellStart"/>
      <w:r>
        <w:rPr>
          <w:rFonts w:ascii="segoe-ui_normal" w:hAnsi="segoe-ui_normal"/>
          <w:color w:val="000000"/>
        </w:rPr>
        <w:t>tempdb</w:t>
      </w:r>
      <w:proofErr w:type="spellEnd"/>
      <w:r>
        <w:rPr>
          <w:rFonts w:ascii="segoe-ui_normal" w:hAnsi="segoe-ui_normal"/>
          <w:color w:val="000000"/>
        </w:rPr>
        <w:t xml:space="preserve"> in a SQL Server production environment depends on many factors. As described previously in this article, these factors include the existing workload and the SQL Server features that are used. We recommend that you analyze the existing workload by performing the following tasks in a SQL Server test environment:</w:t>
      </w:r>
    </w:p>
    <w:p w:rsidR="0031101B" w:rsidRDefault="0031101B" w:rsidP="0031101B">
      <w:pPr>
        <w:numPr>
          <w:ilvl w:val="0"/>
          <w:numId w:val="2"/>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Set </w:t>
      </w:r>
      <w:proofErr w:type="spellStart"/>
      <w:r>
        <w:rPr>
          <w:rFonts w:ascii="segoe-ui_normal" w:hAnsi="segoe-ui_normal"/>
          <w:color w:val="000000"/>
        </w:rPr>
        <w:t>autogrow</w:t>
      </w:r>
      <w:proofErr w:type="spellEnd"/>
      <w:r>
        <w:rPr>
          <w:rFonts w:ascii="segoe-ui_normal" w:hAnsi="segoe-ui_normal"/>
          <w:color w:val="000000"/>
        </w:rPr>
        <w:t xml:space="preserve"> on for </w:t>
      </w:r>
      <w:proofErr w:type="spellStart"/>
      <w:r>
        <w:rPr>
          <w:rFonts w:ascii="segoe-ui_normal" w:hAnsi="segoe-ui_normal"/>
          <w:color w:val="000000"/>
        </w:rPr>
        <w:t>tempdb</w:t>
      </w:r>
      <w:proofErr w:type="spellEnd"/>
      <w:r>
        <w:rPr>
          <w:rFonts w:ascii="segoe-ui_normal" w:hAnsi="segoe-ui_normal"/>
          <w:color w:val="000000"/>
        </w:rPr>
        <w:t>.</w:t>
      </w:r>
    </w:p>
    <w:p w:rsidR="0031101B" w:rsidRDefault="0031101B" w:rsidP="0031101B">
      <w:pPr>
        <w:numPr>
          <w:ilvl w:val="0"/>
          <w:numId w:val="2"/>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Execute individual queries or workload trace files and monitor </w:t>
      </w:r>
      <w:proofErr w:type="spellStart"/>
      <w:r>
        <w:rPr>
          <w:rFonts w:ascii="segoe-ui_normal" w:hAnsi="segoe-ui_normal"/>
          <w:color w:val="000000"/>
        </w:rPr>
        <w:t>tempdb</w:t>
      </w:r>
      <w:proofErr w:type="spellEnd"/>
      <w:r>
        <w:rPr>
          <w:rFonts w:ascii="segoe-ui_normal" w:hAnsi="segoe-ui_normal"/>
          <w:color w:val="000000"/>
        </w:rPr>
        <w:t xml:space="preserve"> space use.</w:t>
      </w:r>
    </w:p>
    <w:p w:rsidR="0031101B" w:rsidRDefault="0031101B" w:rsidP="0031101B">
      <w:pPr>
        <w:numPr>
          <w:ilvl w:val="0"/>
          <w:numId w:val="2"/>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Execute index maintenance operations, such as rebuilding indexes and monitor </w:t>
      </w:r>
      <w:proofErr w:type="spellStart"/>
      <w:r>
        <w:rPr>
          <w:rFonts w:ascii="segoe-ui_normal" w:hAnsi="segoe-ui_normal"/>
          <w:color w:val="000000"/>
        </w:rPr>
        <w:t>tempdb</w:t>
      </w:r>
      <w:proofErr w:type="spellEnd"/>
      <w:r>
        <w:rPr>
          <w:rFonts w:ascii="segoe-ui_normal" w:hAnsi="segoe-ui_normal"/>
          <w:color w:val="000000"/>
        </w:rPr>
        <w:t xml:space="preserve"> space.</w:t>
      </w:r>
    </w:p>
    <w:p w:rsidR="0031101B" w:rsidRDefault="0031101B" w:rsidP="0031101B">
      <w:pPr>
        <w:numPr>
          <w:ilvl w:val="0"/>
          <w:numId w:val="2"/>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Use the space-use values from the previous steps to predict your total workload usage; adjust this value for projected concurrent activity, and then set the size of </w:t>
      </w:r>
      <w:proofErr w:type="spellStart"/>
      <w:r>
        <w:rPr>
          <w:rFonts w:ascii="segoe-ui_normal" w:hAnsi="segoe-ui_normal"/>
          <w:color w:val="000000"/>
        </w:rPr>
        <w:t>tempdb</w:t>
      </w:r>
      <w:proofErr w:type="spellEnd"/>
      <w:r>
        <w:rPr>
          <w:rFonts w:ascii="segoe-ui_normal" w:hAnsi="segoe-ui_normal"/>
          <w:color w:val="000000"/>
        </w:rPr>
        <w:t xml:space="preserve"> accordingly.</w:t>
      </w:r>
    </w:p>
    <w:p w:rsidR="0088105D" w:rsidRDefault="0088105D">
      <w:bookmarkStart w:id="0" w:name="_GoBack"/>
      <w:bookmarkEnd w:id="0"/>
    </w:p>
    <w:sectPr w:rsidR="0088105D" w:rsidSect="00192B7C">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 w:name="segoe-ui_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283640"/>
      <w:docPartObj>
        <w:docPartGallery w:val="Page Numbers (Bottom of Page)"/>
        <w:docPartUnique/>
      </w:docPartObj>
    </w:sdtPr>
    <w:sdtEndPr>
      <w:rPr>
        <w:noProof/>
      </w:rPr>
    </w:sdtEndPr>
    <w:sdtContent>
      <w:p w:rsidR="001D1785" w:rsidRDefault="0031101B">
        <w:pPr>
          <w:pStyle w:val="Footer"/>
        </w:pPr>
        <w:r>
          <w:fldChar w:fldCharType="begin"/>
        </w:r>
        <w:r>
          <w:instrText xml:space="preserve"> PAGE   \* MERGEFORMAT </w:instrText>
        </w:r>
        <w:r>
          <w:fldChar w:fldCharType="separate"/>
        </w:r>
        <w:r>
          <w:rPr>
            <w:noProof/>
          </w:rPr>
          <w:t>1</w:t>
        </w:r>
        <w:r>
          <w:rPr>
            <w:noProof/>
          </w:rPr>
          <w:fldChar w:fldCharType="end"/>
        </w:r>
      </w:p>
    </w:sdtContent>
  </w:sdt>
  <w:p w:rsidR="001D1785" w:rsidRDefault="0031101B">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94AC7"/>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1005E"/>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1B"/>
    <w:rsid w:val="0031101B"/>
    <w:rsid w:val="00881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7C58-9B06-43C5-8D37-F2F0353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01B"/>
    <w:pPr>
      <w:spacing w:after="200" w:line="276" w:lineRule="auto"/>
    </w:pPr>
    <w:rPr>
      <w:lang w:val="en-US"/>
    </w:rPr>
  </w:style>
  <w:style w:type="paragraph" w:styleId="Heading2">
    <w:name w:val="heading 2"/>
    <w:basedOn w:val="Normal"/>
    <w:link w:val="Heading2Char"/>
    <w:uiPriority w:val="9"/>
    <w:qFormat/>
    <w:rsid w:val="00311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01B"/>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31101B"/>
    <w:rPr>
      <w:color w:val="0563C1" w:themeColor="hyperlink"/>
      <w:u w:val="single"/>
    </w:rPr>
  </w:style>
  <w:style w:type="paragraph" w:styleId="NormalWeb">
    <w:name w:val="Normal (Web)"/>
    <w:basedOn w:val="Normal"/>
    <w:uiPriority w:val="99"/>
    <w:unhideWhenUsed/>
    <w:rsid w:val="00311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01B"/>
    <w:rPr>
      <w:b/>
      <w:bCs/>
    </w:rPr>
  </w:style>
  <w:style w:type="paragraph" w:styleId="Footer">
    <w:name w:val="footer"/>
    <w:basedOn w:val="Normal"/>
    <w:link w:val="FooterChar"/>
    <w:uiPriority w:val="99"/>
    <w:unhideWhenUsed/>
    <w:rsid w:val="0031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0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docs.microsoft.com/en-us/sql/t-sql/database-console-commands/dbcc-traceon-trace-flags-transact-sql?view=sql-server-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2020-01-05T15:26:00Z</dcterms:created>
  <dcterms:modified xsi:type="dcterms:W3CDTF">2020-01-05T15:26:00Z</dcterms:modified>
</cp:coreProperties>
</file>