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供应商管理办法</w:t>
      </w:r>
    </w:p>
    <w:p>
      <w:pPr>
        <w:pStyle w:val="Heading1"/>
      </w:pPr>
      <w:r>
        <w:t>第一章 总则</w:t>
      </w:r>
    </w:p>
    <w:p>
      <w:r>
        <w:t>为规范供应商管理，建立稳定可靠的供应链体系，特制定本办法。</w:t>
      </w:r>
    </w:p>
    <w:p>
      <w:pPr>
        <w:pStyle w:val="Heading1"/>
      </w:pPr>
      <w:r>
        <w:t>第二章 供应商准入</w:t>
      </w:r>
    </w:p>
    <w:p>
      <w:r>
        <w:t>新供应商准入需提交以下材料：营业执照副本、税务登记证明、质量管理体系认证证书。</w:t>
      </w:r>
    </w:p>
    <w:p>
      <w:r>
        <w:t>准入评审由采购部牵头，联合质量部、财务部共同进行，评审周期一般为十个工作日。</w:t>
      </w:r>
    </w:p>
    <w:p>
      <w:pPr>
        <w:pStyle w:val="Heading1"/>
      </w:pPr>
      <w:r>
        <w:t>第三章 评级与考核</w:t>
      </w:r>
    </w:p>
    <w:p>
      <w:r>
        <w:t>供应商每年度考核一次，考核维度包括交付及时率、质量合格率、价格竞争力、服务响应速度。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综合得分</w:t>
            </w:r>
          </w:p>
        </w:tc>
        <w:tc>
          <w:tcPr>
            <w:tcW w:type="dxa" w:w="2880"/>
          </w:tcPr>
          <w:p>
            <w:r>
              <w:t>采购策略</w:t>
            </w:r>
          </w:p>
        </w:tc>
      </w:tr>
      <w:tr>
        <w:tc>
          <w:tcPr>
            <w:tcW w:type="dxa" w:w="2880"/>
          </w:tcPr>
          <w:p>
            <w:r>
              <w:t>A级</w:t>
            </w:r>
          </w:p>
        </w:tc>
        <w:tc>
          <w:tcPr>
            <w:tcW w:type="dxa" w:w="2880"/>
          </w:tcPr>
          <w:p>
            <w:r>
              <w:t>90分以上</w:t>
            </w:r>
          </w:p>
        </w:tc>
        <w:tc>
          <w:tcPr>
            <w:tcW w:type="dxa" w:w="2880"/>
          </w:tcPr>
          <w:p>
            <w:r>
              <w:t>优先采购，可放宽账期</w:t>
            </w:r>
          </w:p>
        </w:tc>
      </w:tr>
      <w:tr>
        <w:tc>
          <w:tcPr>
            <w:tcW w:type="dxa" w:w="2880"/>
          </w:tcPr>
          <w:p>
            <w:r>
              <w:t>B级</w:t>
            </w:r>
          </w:p>
        </w:tc>
        <w:tc>
          <w:tcPr>
            <w:tcW w:type="dxa" w:w="2880"/>
          </w:tcPr>
          <w:p>
            <w:r>
              <w:t>75至89分</w:t>
            </w:r>
          </w:p>
        </w:tc>
        <w:tc>
          <w:tcPr>
            <w:tcW w:type="dxa" w:w="2880"/>
          </w:tcPr>
          <w:p>
            <w:r>
              <w:t>正常采购</w:t>
            </w:r>
          </w:p>
        </w:tc>
      </w:tr>
      <w:tr>
        <w:tc>
          <w:tcPr>
            <w:tcW w:type="dxa" w:w="2880"/>
          </w:tcPr>
          <w:p>
            <w:r>
              <w:t>C级</w:t>
            </w:r>
          </w:p>
        </w:tc>
        <w:tc>
          <w:tcPr>
            <w:tcW w:type="dxa" w:w="2880"/>
          </w:tcPr>
          <w:p>
            <w:r>
              <w:t>75分以下</w:t>
            </w:r>
          </w:p>
        </w:tc>
        <w:tc>
          <w:tcPr>
            <w:tcW w:type="dxa" w:w="2880"/>
          </w:tcPr>
          <w:p>
            <w:r>
              <w:t>限制采购，限期整改</w:t>
            </w:r>
          </w:p>
        </w:tc>
      </w:tr>
    </w:tbl>
    <w:p>
      <w:pPr>
        <w:pStyle w:val="Heading1"/>
      </w:pPr>
      <w:r>
        <w:t>第四章 退出机制</w:t>
      </w:r>
    </w:p>
    <w:p>
      <w:r>
        <w:t>连续两年考核为C级的供应商，取消其合格供应商资格。</w:t>
      </w:r>
    </w:p>
    <w:p>
      <w:r>
        <w:t>发生重大质量事故或商业贿赂行为的，立即终止合作并列入黑名单。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