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《中英文翻译系统》项目测试方案</w:t>
      </w:r>
    </w:p>
    <w:tbl>
      <w:tblPr>
        <w:tblW w:w="0" w:type="auto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r>
        <w:tc>
          <w:tcPr>
            <w:tcW w:w="8280" w:type="dxa"/>
            <w:shd w:color="auto" w:val="clear" w:fill="f5f6f7"/>
            <w:tcMar>
              <w:top w:type="dxa" w:w="120"/>
              <w:left w:type="dxa" w:w="120"/>
              <w:bottom w:type="dxa" w:w="60"/>
              <w:right w:type="dxa" w:w="120"/>
            </w:tcMar>
          </w:tcPr>
          <w:p>
            <w:pPr>
              <w:spacing w:before="120" w:after="120" w:line="288" w:lineRule="auto"/>
            </w:pPr>
            <w:hyperlink w:anchor="heading_0">
              <w:r>
                <w:rPr>
                  <w:rFonts w:eastAsia="等线" w:ascii="Arial" w:cs="Arial" w:hAnsi="Arial"/>
                  <w:b w:val="true"/>
                  <w:sz w:val="22"/>
                </w:rPr>
                <w:t>1. 引言</w:t>
              </w:r>
            </w:hyperlink>
          </w:p>
          <w:p>
            <w:pPr>
              <w:spacing w:before="120" w:after="120" w:line="288" w:lineRule="auto"/>
            </w:pPr>
            <w:hyperlink w:anchor="heading_1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1.1 编写目的</w:t>
              </w:r>
            </w:hyperlink>
          </w:p>
          <w:p>
            <w:pPr>
              <w:spacing w:before="120" w:after="120" w:line="288" w:lineRule="auto"/>
            </w:pPr>
            <w:hyperlink w:anchor="heading_2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1.2 项目背景</w:t>
              </w:r>
            </w:hyperlink>
          </w:p>
          <w:p>
            <w:pPr>
              <w:spacing w:before="120" w:after="120" w:line="288" w:lineRule="auto"/>
            </w:pPr>
            <w:hyperlink w:anchor="heading_3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1.3 参考资料</w:t>
              </w:r>
            </w:hyperlink>
          </w:p>
          <w:p>
            <w:pPr>
              <w:spacing w:before="120" w:after="120" w:line="288" w:lineRule="auto"/>
            </w:pPr>
            <w:hyperlink w:anchor="heading_4">
              <w:r>
                <w:rPr>
                  <w:rFonts w:eastAsia="等线" w:ascii="Arial" w:cs="Arial" w:hAnsi="Arial"/>
                  <w:b w:val="true"/>
                  <w:sz w:val="22"/>
                </w:rPr>
                <w:t>2. 测试环境</w:t>
              </w:r>
            </w:hyperlink>
          </w:p>
          <w:p>
            <w:pPr>
              <w:spacing w:before="120" w:after="120" w:line="288" w:lineRule="auto"/>
            </w:pPr>
            <w:hyperlink w:anchor="heading_5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2.1 硬件配置</w:t>
              </w:r>
            </w:hyperlink>
          </w:p>
          <w:p>
            <w:pPr>
              <w:spacing w:before="120" w:after="120" w:line="288" w:lineRule="auto"/>
            </w:pPr>
            <w:hyperlink w:anchor="heading_6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2.2 前端环境</w:t>
              </w:r>
            </w:hyperlink>
          </w:p>
          <w:p>
            <w:pPr>
              <w:spacing w:before="120" w:after="120" w:line="288" w:lineRule="auto"/>
            </w:pPr>
            <w:hyperlink w:anchor="heading_7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2.3 Python 库需求</w:t>
              </w:r>
            </w:hyperlink>
          </w:p>
          <w:p>
            <w:pPr>
              <w:spacing w:before="120" w:after="120" w:line="288" w:lineRule="auto"/>
            </w:pPr>
            <w:hyperlink w:anchor="heading_8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2.4 测试工具</w:t>
              </w:r>
            </w:hyperlink>
          </w:p>
          <w:p>
            <w:pPr>
              <w:spacing w:before="120" w:after="120" w:line="288" w:lineRule="auto"/>
            </w:pPr>
            <w:hyperlink w:anchor="heading_9">
              <w:r>
                <w:rPr>
                  <w:rFonts w:eastAsia="等线" w:ascii="Arial" w:cs="Arial" w:hAnsi="Arial"/>
                  <w:b w:val="true"/>
                  <w:sz w:val="22"/>
                </w:rPr>
                <w:t>3. 测试安排</w:t>
              </w:r>
            </w:hyperlink>
          </w:p>
          <w:p>
            <w:pPr>
              <w:spacing w:before="120" w:after="120" w:line="288" w:lineRule="auto"/>
            </w:pPr>
            <w:hyperlink w:anchor="heading_10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3.1 注册</w:t>
              </w:r>
            </w:hyperlink>
          </w:p>
          <w:p>
            <w:pPr>
              <w:spacing w:before="120" w:after="120" w:line="288" w:lineRule="auto"/>
            </w:pPr>
            <w:hyperlink w:anchor="heading_11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3.2 登录</w:t>
              </w:r>
            </w:hyperlink>
          </w:p>
          <w:p>
            <w:pPr>
              <w:spacing w:before="120" w:after="120" w:line="288" w:lineRule="auto"/>
            </w:pPr>
            <w:hyperlink w:anchor="heading_12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3.3 找回密码</w:t>
              </w:r>
            </w:hyperlink>
          </w:p>
          <w:p>
            <w:pPr>
              <w:spacing w:before="120" w:after="120" w:line="288" w:lineRule="auto"/>
            </w:pPr>
            <w:hyperlink w:anchor="heading_13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3.4 文本翻译</w:t>
              </w:r>
            </w:hyperlink>
          </w:p>
          <w:p>
            <w:pPr>
              <w:spacing w:before="120" w:after="120" w:line="288" w:lineRule="auto"/>
            </w:pPr>
            <w:hyperlink w:anchor="heading_14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3.5 图片/文件翻译</w:t>
              </w:r>
            </w:hyperlink>
          </w:p>
          <w:p>
            <w:pPr>
              <w:spacing w:before="120" w:after="120" w:line="288" w:lineRule="auto"/>
            </w:pPr>
            <w:hyperlink w:anchor="heading_15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3.6 历史查询</w:t>
              </w:r>
            </w:hyperlink>
          </w:p>
          <w:p>
            <w:pPr>
              <w:spacing w:before="120" w:after="120" w:line="288" w:lineRule="auto"/>
            </w:pPr>
            <w:hyperlink w:anchor="heading_16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3.7 设置</w:t>
              </w:r>
            </w:hyperlink>
          </w:p>
          <w:p>
            <w:pPr>
              <w:spacing w:before="120" w:after="120" w:line="288" w:lineRule="auto"/>
            </w:pPr>
            <w:hyperlink w:anchor="heading_17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3.8 反馈</w:t>
              </w:r>
            </w:hyperlink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color w:val="3370ff"/>
          <w:sz w:val="36"/>
        </w:rPr>
        <w:t xml:space="preserve">1. </w:t>
      </w:r>
      <w:r>
        <w:rPr>
          <w:rFonts w:eastAsia="等线" w:ascii="Arial" w:cs="Arial" w:hAnsi="Arial"/>
          <w:b w:val="true"/>
          <w:sz w:val="36"/>
        </w:rPr>
        <w:t>引言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1.1 </w:t>
      </w:r>
      <w:r>
        <w:rPr>
          <w:rFonts w:eastAsia="等线" w:ascii="Arial" w:cs="Arial" w:hAnsi="Arial"/>
          <w:b w:val="true"/>
          <w:sz w:val="32"/>
        </w:rPr>
        <w:t>编写目的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测试报告为《中英文翻译系统》项目的测试报告，目的是在总测试阶段进行测试评估并分析测试结果，描述《中英文翻译系统》是否能正常上线，上线后能否稳定运行。预期参考人员包括测试人员、开发人员、产品经理、需要阅读本报告的高层经理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color w:val="3370ff"/>
          <w:sz w:val="32"/>
        </w:rPr>
        <w:t xml:space="preserve">1.2 </w:t>
      </w:r>
      <w:r>
        <w:rPr>
          <w:rFonts w:eastAsia="等线" w:ascii="Arial" w:cs="Arial" w:hAnsi="Arial"/>
          <w:b w:val="true"/>
          <w:sz w:val="32"/>
        </w:rPr>
        <w:t>项目背景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全球化与信息技术迅猛发展的背景下，中英文之间的交流需求日益增长。无论是在学术研究、国际贸易还是文化交往中，人们都迫切需要能够高效、准确克服语言障碍的工具。尽管当前市场上已有多种翻译产品，但在应对专业术语、复杂句法及大段文本时，仍普遍存在译文生硬、语义偏差和错误率较高等问题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与此同时，人工智能技术近年来实现了显著突破。以 Transformer 架构为核心的大规模预训练模型，为机器翻译带来了革命性的进展。该类模型能够更深入地捕捉语言的语义结构与上下文信息，从而生成更为自然、准确的翻译结果。而随着 PyTorch、Hugging Face Transformers 等开源框架的不断成熟，高性能自然语言处理模型的开发与部署门槛已大幅降低。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在此背景下，本项目致力于构建一个高效、专业的中英双向翻译系统。系统将依托先进的深度学习技术，特别是基于 Transformer 的神经机器翻译方法，致力于解决现有翻译工具在质量与适用性上的不足。该系统不仅具备出色的翻译速度与准确度，还能够充分理解文本的上下文语境，实现更智能、更符合实用需求的翻译输出。我们的目标是为用户提供真正可靠、实用的跨语言沟通支持，满足不断增长的高质量翻译需求，并推动前沿人工智能技术在实际应用中的广泛落地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color w:val="3370ff"/>
          <w:sz w:val="32"/>
        </w:rPr>
        <w:t xml:space="preserve">1.3 </w:t>
      </w:r>
      <w:r>
        <w:rPr>
          <w:rFonts w:eastAsia="等线" w:ascii="Arial" w:cs="Arial" w:hAnsi="Arial"/>
          <w:b w:val="true"/>
          <w:sz w:val="32"/>
        </w:rPr>
        <w:t>参考资料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《中英文翻译系统》项目需求说明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《中英文翻译系统》项目概要设计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《中英文翻译系统》项目详细设计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" w:id="4"/>
      <w:r>
        <w:rPr>
          <w:rFonts w:eastAsia="等线" w:ascii="Arial" w:cs="Arial" w:hAnsi="Arial"/>
          <w:color w:val="3370ff"/>
          <w:sz w:val="36"/>
        </w:rPr>
        <w:t xml:space="preserve">2. </w:t>
      </w:r>
      <w:r>
        <w:rPr>
          <w:rFonts w:eastAsia="等线" w:ascii="Arial" w:cs="Arial" w:hAnsi="Arial"/>
          <w:b w:val="true"/>
          <w:sz w:val="36"/>
        </w:rPr>
        <w:t>测试环境</w:t>
      </w:r>
      <w:bookmarkEnd w:id="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color w:val="3370ff"/>
          <w:sz w:val="32"/>
        </w:rPr>
        <w:t xml:space="preserve">2.1 </w:t>
      </w:r>
      <w:r>
        <w:rPr>
          <w:rFonts w:eastAsia="等线" w:ascii="Arial" w:cs="Arial" w:hAnsi="Arial"/>
          <w:b w:val="true"/>
          <w:sz w:val="32"/>
        </w:rPr>
        <w:t>硬件配置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客户端部署环境：普通 PC 或移动设备，支持运行浏览器访问系统，处理界面渲染与用户交互，无需高性能计算资源，主要承担前端交互和数据展示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服务端部署环境：高性能服务器，部署 FastAPI 服务，处理客户端请求、调用模型接口、进行数据处理和业务逻辑计算，支持多并发请求，保证 API 响应速度和稳定性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翻译模型训练环境：GPU、华为昇腾NPU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翻译模型部署环境：服务器，提供在线翻译推理服务，快速响应客户端请求，实现实时翻译，兼顾计算性能和响应速度，保证服务的可用性和稳定性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color w:val="3370ff"/>
          <w:sz w:val="32"/>
        </w:rPr>
        <w:t xml:space="preserve">2.2 </w:t>
      </w:r>
      <w:r>
        <w:rPr>
          <w:rFonts w:eastAsia="等线" w:ascii="Arial" w:cs="Arial" w:hAnsi="Arial"/>
          <w:b w:val="true"/>
          <w:sz w:val="32"/>
        </w:rPr>
        <w:t>前端环境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Microsoft Edge 15+, Firefox 52+, Chrome 55+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color w:val="3370ff"/>
          <w:sz w:val="32"/>
        </w:rPr>
        <w:t xml:space="preserve">2.3 </w:t>
      </w:r>
      <w:r>
        <w:rPr>
          <w:rFonts w:eastAsia="等线" w:ascii="Arial" w:cs="Arial" w:hAnsi="Arial"/>
          <w:b w:val="true"/>
          <w:sz w:val="32"/>
        </w:rPr>
        <w:t>Python 库需求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fastapi、uvicorn、starlette、fastapi-mail、pydantic、torch、transformers、qwen_vl_utils、mindspore、Pillow、matplotlib、numpy、PyPDF2、pdfplumber、python-docx、pymysql、requests、openai、tqdm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color w:val="3370ff"/>
          <w:sz w:val="32"/>
        </w:rPr>
        <w:t xml:space="preserve">2.4 </w:t>
      </w:r>
      <w:r>
        <w:rPr>
          <w:rFonts w:eastAsia="等线" w:ascii="Arial" w:cs="Arial" w:hAnsi="Arial"/>
          <w:b w:val="true"/>
          <w:sz w:val="32"/>
        </w:rPr>
        <w:t>测试工具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Swagger UI：FastAPI 自带的交互式 API 文档和测试工具，能够直观地展示项目中所有接口的详细信息，并支持在线测试。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NVIDIA System Management Interface：实时查看 GPU 运行状态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color w:val="3370ff"/>
          <w:sz w:val="36"/>
        </w:rPr>
        <w:t xml:space="preserve">3. </w:t>
      </w:r>
      <w:r>
        <w:rPr>
          <w:rFonts w:eastAsia="等线" w:ascii="Arial" w:cs="Arial" w:hAnsi="Arial"/>
          <w:b w:val="true"/>
          <w:sz w:val="36"/>
        </w:rPr>
        <w:t>测试安排</w:t>
      </w:r>
      <w:bookmarkEnd w:id="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color w:val="3370ff"/>
          <w:sz w:val="32"/>
        </w:rPr>
        <w:t xml:space="preserve">3.1 </w:t>
      </w:r>
      <w:r>
        <w:rPr>
          <w:rFonts w:eastAsia="等线" w:ascii="Arial" w:cs="Arial" w:hAnsi="Arial"/>
          <w:b w:val="true"/>
          <w:sz w:val="32"/>
        </w:rPr>
        <w:t>注册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895"/>
        <w:gridCol w:w="5385"/>
      </w:tblGrid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用户注册示例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在网页中打开应用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注册账号输入框不输入任何值，点击【确定】按钮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账号输入框高亮显示，提示‘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注册账号输入框输入admin，邮箱不输入值，点击【确定】按钮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注册账号输入框输入admin，邮箱输入，不输入密码，点击【确定】按钮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密码输入框高亮显示，提示‘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注册账号输入框输入admin，邮箱输入，输入密码，不确认密码，点击【确定】按钮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密码确认输入框高亮显示，提示‘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注册账号输入框输入admin，邮箱输入，输入密码少于8个字符，点击【确定】按钮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页面显示红色的提示，提示您‘密码长度不能少于8个字符’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注册账号输入框输入admin，输入密码，确认密码，不输入验证码，点击【确定】按钮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验证码输入框高亮显示，提示‘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注册账号输入框输入admin，输入密码，确认密码，点击【发送验证码】按钮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按钮短暂显示‘</w:t>
            </w:r>
            <w:r>
              <w:rPr>
                <w:rFonts w:eastAsia="等线" w:ascii="Arial" w:cs="Arial" w:hAnsi="Arial"/>
                <w:i w:val="true"/>
                <w:sz w:val="22"/>
              </w:rPr>
              <w:t>发送中</w:t>
            </w:r>
            <w:r>
              <w:rPr>
                <w:rFonts w:eastAsia="等线" w:ascii="Arial" w:cs="Arial" w:hAnsi="Arial"/>
                <w:sz w:val="22"/>
              </w:rPr>
              <w:t>’，之后页面提示您‘</w:t>
            </w:r>
            <w:r>
              <w:rPr>
                <w:rFonts w:eastAsia="等线" w:ascii="Arial" w:cs="Arial" w:hAnsi="Arial"/>
                <w:i w:val="true"/>
                <w:sz w:val="22"/>
              </w:rPr>
              <w:t>验证码已发送到您的邮箱</w:t>
            </w:r>
            <w:r>
              <w:rPr>
                <w:rFonts w:eastAsia="等线" w:ascii="Arial" w:cs="Arial" w:hAnsi="Arial"/>
                <w:sz w:val="22"/>
              </w:rPr>
              <w:t>’，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注册账号输入框输入admin，输入密码，确认密码，输入验证码错误，点击【确定】按钮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页面显示红色的提示，提示您‘</w:t>
            </w:r>
            <w:r>
              <w:rPr>
                <w:rFonts w:eastAsia="等线" w:ascii="Arial" w:cs="Arial" w:hAnsi="Arial"/>
                <w:i w:val="true"/>
                <w:sz w:val="22"/>
              </w:rPr>
              <w:t>验证码错误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注册账号输入框输入admin，输入密码，确认密码，输入验证码正确，点击【确定】按钮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系统跳转到登录页面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color w:val="3370ff"/>
          <w:sz w:val="32"/>
        </w:rPr>
        <w:t xml:space="preserve">3.2 </w:t>
      </w:r>
      <w:r>
        <w:rPr>
          <w:rFonts w:eastAsia="等线" w:ascii="Arial" w:cs="Arial" w:hAnsi="Arial"/>
          <w:b w:val="true"/>
          <w:sz w:val="32"/>
        </w:rPr>
        <w:t>登录</w:t>
      </w:r>
      <w:bookmarkEnd w:id="1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895"/>
        <w:gridCol w:w="5385"/>
      </w:tblGrid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用户注册示例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</w:t>
            </w:r>
            <w:r>
              <w:rPr>
                <w:rFonts w:eastAsia="等线" w:ascii="Arial" w:cs="Arial" w:hAnsi="Arial"/>
                <w:sz w:val="22"/>
              </w:rPr>
              <w:t>网页</w:t>
            </w:r>
            <w:r>
              <w:rPr>
                <w:rFonts w:eastAsia="等线" w:ascii="Arial" w:cs="Arial" w:hAnsi="Arial"/>
                <w:sz w:val="22"/>
              </w:rPr>
              <w:t>中打开应用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账号输入框不输入任何值，点击【确定】按钮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账号输入框高亮显示，提示‘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 登录邮箱输入框输入正确，密码不输入值，点击【确定】按钮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密码输入框高亮显示，提示‘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 点击【忘记密码】按钮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系统跳转到找回密码页面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若不存在账户，点击【立即注册】按钮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系统跳转到注册页面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5.登录邮箱输入框输入正确，密码输入错误，点击【确定】按钮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页面显示红色的提示，提示您‘</w:t>
            </w:r>
            <w:r>
              <w:rPr>
                <w:rFonts w:eastAsia="等线" w:ascii="Arial" w:cs="Arial" w:hAnsi="Arial"/>
                <w:i w:val="true"/>
                <w:sz w:val="22"/>
              </w:rPr>
              <w:t>密码与邮箱不匹配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28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6.登录邮箱输入框输入正确，密码输入正确，点击【确定】按钮</w:t>
            </w:r>
          </w:p>
        </w:tc>
        <w:tc>
          <w:tcPr>
            <w:tcW w:w="53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系统跳转到翻译页面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color w:val="3370ff"/>
          <w:sz w:val="32"/>
        </w:rPr>
        <w:t xml:space="preserve">3.3 </w:t>
      </w:r>
      <w:r>
        <w:rPr>
          <w:rFonts w:eastAsia="等线" w:ascii="Arial" w:cs="Arial" w:hAnsi="Arial"/>
          <w:b w:val="true"/>
          <w:sz w:val="32"/>
        </w:rPr>
        <w:t>找回密码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225"/>
        <w:gridCol w:w="5055"/>
      </w:tblGrid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找回密码</w:t>
            </w:r>
            <w:r>
              <w:rPr>
                <w:rFonts w:eastAsia="等线" w:ascii="Arial" w:cs="Arial" w:hAnsi="Arial"/>
                <w:sz w:val="22"/>
              </w:rPr>
              <w:t>示例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用户登录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邮箱输入框不输入任何值，点击【重置密码】按钮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账号输入框高亮显示，提示‘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邮箱输入框输入admin，邮箱不输入值，点击【重置密码】按钮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请在电子邮件地址中包括“@”。“admin”中缺少“@”。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邮箱输入，不输入密码和验证码，点击【重置密码】按钮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验证码输入框高亮显示，提示‘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邮箱输入，点击【发送验证码】按钮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按钮短暂显示‘</w:t>
            </w:r>
            <w:r>
              <w:rPr>
                <w:rFonts w:eastAsia="等线" w:ascii="Arial" w:cs="Arial" w:hAnsi="Arial"/>
                <w:i w:val="true"/>
                <w:sz w:val="22"/>
              </w:rPr>
              <w:t>发送中</w:t>
            </w:r>
            <w:r>
              <w:rPr>
                <w:rFonts w:eastAsia="等线" w:ascii="Arial" w:cs="Arial" w:hAnsi="Arial"/>
                <w:sz w:val="22"/>
              </w:rPr>
              <w:t>’，之后页面提示您‘</w:t>
            </w:r>
            <w:r>
              <w:rPr>
                <w:rFonts w:eastAsia="等线" w:ascii="Arial" w:cs="Arial" w:hAnsi="Arial"/>
                <w:i w:val="true"/>
                <w:sz w:val="22"/>
              </w:rPr>
              <w:t>验证码已发送到您的邮箱</w:t>
            </w:r>
            <w:r>
              <w:rPr>
                <w:rFonts w:eastAsia="等线" w:ascii="Arial" w:cs="Arial" w:hAnsi="Arial"/>
                <w:sz w:val="22"/>
              </w:rPr>
              <w:t>’，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邮箱输入，输入密码，确认密码，输入验证码错误，点击【重置密码】按钮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页面显示红色的提示，提示您‘</w:t>
            </w:r>
            <w:r>
              <w:rPr>
                <w:rFonts w:eastAsia="等线" w:ascii="Arial" w:cs="Arial" w:hAnsi="Arial"/>
                <w:i w:val="true"/>
                <w:sz w:val="22"/>
              </w:rPr>
              <w:t>验证码错误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邮箱和验证码输入，不输入密码，点击【重置密码】按钮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密码输入框高亮显示，提示‘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邮箱和验证码输入，输入密码，不确认密码，点击【重置密码】按钮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密码确认输入框高亮显示，提示‘</w:t>
            </w:r>
            <w:r>
              <w:rPr>
                <w:rFonts w:eastAsia="等线" w:ascii="Arial" w:cs="Arial" w:hAnsi="Arial"/>
                <w:i w:val="true"/>
                <w:sz w:val="22"/>
              </w:rPr>
              <w:t>请填写此字段</w:t>
            </w:r>
            <w:r>
              <w:rPr>
                <w:rFonts w:eastAsia="等线" w:ascii="Arial" w:cs="Arial" w:hAnsi="Arial"/>
                <w:sz w:val="22"/>
              </w:rPr>
              <w:t>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邮箱和验证码输入，输入密码少于8个字符，点击【重置密码】按钮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页面显示红色的提示，提示您‘密码长度不能少于8个字符’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输入邮箱，输入密码，确认密码，输入验证码正确，点击【重置密码】按钮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系统提示重置密码成功，跳转到登录页面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点击【立即登录】按钮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系统跳转到登录页面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color w:val="3370ff"/>
          <w:sz w:val="32"/>
        </w:rPr>
        <w:t xml:space="preserve">3.4 </w:t>
      </w:r>
      <w:r>
        <w:rPr>
          <w:rFonts w:eastAsia="等线" w:ascii="Arial" w:cs="Arial" w:hAnsi="Arial"/>
          <w:b w:val="true"/>
          <w:sz w:val="32"/>
        </w:rPr>
        <w:t>文本翻译</w:t>
      </w:r>
      <w:bookmarkEnd w:id="1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225"/>
        <w:gridCol w:w="5055"/>
      </w:tblGrid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文本翻译示例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用户登录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待翻译的文本、翻译方向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在“选择翻译模型”框中，点击选用“高速翻译模型”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已选择：高速翻译模型</w:t>
            </w:r>
            <w:r>
              <w:rPr>
                <w:rFonts w:eastAsia="等线" w:ascii="Arial" w:cs="Arial" w:hAnsi="Arial"/>
                <w:sz w:val="22"/>
              </w:rPr>
              <w:t>”，页面提示“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 高速翻译模型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在“选择翻译模型”框中，点击选用“高精度翻译模型”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已选择：高速翻译模型</w:t>
            </w:r>
            <w:r>
              <w:rPr>
                <w:rFonts w:eastAsia="等线" w:ascii="Arial" w:cs="Arial" w:hAnsi="Arial"/>
                <w:sz w:val="22"/>
              </w:rPr>
              <w:t>”，页面提示“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 高精度翻译模型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在“选择翻译模型”框中，点击选用“DeepSeek-R1”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等线" w:ascii="Arial" w:cs="Arial" w:hAnsi="Arial"/>
                <w:i w:val="true"/>
                <w:sz w:val="22"/>
              </w:rPr>
              <w:t>DeepSeek-R1”</w:t>
            </w:r>
            <w:r>
              <w:rPr>
                <w:rFonts w:eastAsia="等线" w:ascii="Arial" w:cs="Arial" w:hAnsi="Arial"/>
                <w:sz w:val="22"/>
              </w:rPr>
              <w:t>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 DeepSeek-R1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</w:t>
            </w:r>
            <w:r>
              <w:rPr>
                <w:rFonts w:eastAsia="等线" w:ascii="Arial" w:cs="Arial" w:hAnsi="Arial"/>
                <w:b w:val="true"/>
                <w:sz w:val="22"/>
              </w:rPr>
              <w:t>通义千问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等线" w:ascii="Arial" w:cs="Arial" w:hAnsi="Arial"/>
                <w:b w:val="true"/>
                <w:i w:val="true"/>
                <w:sz w:val="22"/>
              </w:rPr>
              <w:t>通义千问</w:t>
            </w:r>
            <w:r>
              <w:rPr>
                <w:rFonts w:eastAsia="等线" w:ascii="Arial" w:cs="Arial" w:hAnsi="Arial"/>
                <w:i w:val="true"/>
                <w:sz w:val="22"/>
              </w:rPr>
              <w:t>”</w:t>
            </w:r>
            <w:r>
              <w:rPr>
                <w:rFonts w:eastAsia="等线" w:ascii="Arial" w:cs="Arial" w:hAnsi="Arial"/>
                <w:sz w:val="22"/>
              </w:rPr>
              <w:t>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</w:t>
            </w:r>
            <w:r>
              <w:rPr>
                <w:rFonts w:eastAsia="等线" w:ascii="Arial" w:cs="Arial" w:hAnsi="Arial"/>
                <w:b w:val="true"/>
                <w:i w:val="true"/>
                <w:sz w:val="22"/>
              </w:rPr>
              <w:t>通义千问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选择模型后，点击“更改模型”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框内展示四种可选模型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选择模型后，若显示“中文→英文”，在文本输入框内输入中文待翻译文本，点击“开始翻译”按钮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“开始翻译”按钮切换为“翻译中…”短暂等待后在下方翻译结果区域显示翻译后的英文文本。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在展示“中文→英文”时，点击文本输入框上方的双箭头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已切换为英文→中文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在展示“英文→中文”时，点击文本输入框上方的双箭头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已切换为中文→英文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2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选择模型后，若显示“中文→英文”，在文本输入框内输入英文待翻译文本，点击“开始翻译”按钮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“开始翻译”按钮切换为“翻译中…”短暂等待后在下方翻译结果区域显示原英文文本。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选择模型后，若显示“英文→中文”，在文本输入框内输入英文待翻译文本，点击“开始翻译”按钮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“开始翻译”按钮切换为“翻译中…”短暂等待后在下方翻译结果区域显示翻译后的中文文本。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选择模型后，若显示“英文→中文”，在文本输入框内输入中文待翻译文本，点击“开始翻译”按钮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“开始翻译”按钮切换为“翻译中…”短暂等待后在下方翻译结果区域显示原中文文本。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选择模型后，在文本输入框内输入多句待翻译文本，点击“单句选中”按钮，之后点击选择任意单句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选择的单句高亮显示，在选择的单句下方出现“语音朗读”和“单句翻译”按钮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选择模型后，在文本输入框内输入多句待翻译文本，点击“单句选中”按钮，点击选择任意单句并点击“语音朗读”按钮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播放所选句子的语音，朗读时显示“</w:t>
            </w:r>
            <w:r>
              <w:rPr>
                <w:rFonts w:eastAsia="等线" w:ascii="Arial" w:cs="Arial" w:hAnsi="Arial"/>
                <w:i w:val="true"/>
                <w:sz w:val="22"/>
              </w:rPr>
              <w:t>正在朗读选中的句子</w:t>
            </w:r>
            <w:r>
              <w:rPr>
                <w:rFonts w:eastAsia="等线" w:ascii="Arial" w:cs="Arial" w:hAnsi="Arial"/>
                <w:sz w:val="22"/>
              </w:rPr>
              <w:t>”，朗读失败时显示“</w:t>
            </w:r>
            <w:r>
              <w:rPr>
                <w:rFonts w:eastAsia="等线" w:ascii="Arial" w:cs="Arial" w:hAnsi="Arial"/>
                <w:i w:val="true"/>
                <w:sz w:val="22"/>
              </w:rPr>
              <w:t>您的浏览器不支持语音合成功能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选择模型后，在文本输入框内输入多句待翻译文本，点击“单句选中”按钮，点击选择任意单句并点击“单句翻译”按钮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“开始翻译”按钮切换为“翻译中…”短暂等待后在下方翻译结果区域显示单句的翻译结果。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color w:val="3370ff"/>
          <w:sz w:val="32"/>
        </w:rPr>
        <w:t xml:space="preserve">3.5 </w:t>
      </w:r>
      <w:r>
        <w:rPr>
          <w:rFonts w:eastAsia="等线" w:ascii="Arial" w:cs="Arial" w:hAnsi="Arial"/>
          <w:b w:val="true"/>
          <w:sz w:val="32"/>
        </w:rPr>
        <w:t>图片</w:t>
      </w:r>
      <w:r>
        <w:rPr>
          <w:rFonts w:eastAsia="等线" w:ascii="Arial" w:cs="Arial" w:hAnsi="Arial"/>
          <w:b w:val="true"/>
          <w:sz w:val="32"/>
        </w:rPr>
        <w:t>/文件</w:t>
      </w:r>
      <w:r>
        <w:rPr>
          <w:rFonts w:eastAsia="等线" w:ascii="Arial" w:cs="Arial" w:hAnsi="Arial"/>
          <w:b w:val="true"/>
          <w:sz w:val="32"/>
        </w:rPr>
        <w:t>翻译</w:t>
      </w:r>
      <w:bookmarkEnd w:id="1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225"/>
        <w:gridCol w:w="5055"/>
      </w:tblGrid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图片翻译</w:t>
            </w:r>
            <w:r>
              <w:rPr>
                <w:rFonts w:eastAsia="等线" w:ascii="Arial" w:cs="Arial" w:hAnsi="Arial"/>
                <w:sz w:val="22"/>
              </w:rPr>
              <w:t>示例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在翻译主界面上传图片文件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在“选择翻译模型”框中，点击选用“高速翻译模型”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已选择：高速翻译模型</w:t>
            </w:r>
            <w:r>
              <w:rPr>
                <w:rFonts w:eastAsia="等线" w:ascii="Arial" w:cs="Arial" w:hAnsi="Arial"/>
                <w:sz w:val="22"/>
              </w:rPr>
              <w:t>”，页面提示“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 高速翻译模型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在“选择翻译模型”框中，点击选用“高精度翻译模型”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已选择：高速翻译模型</w:t>
            </w:r>
            <w:r>
              <w:rPr>
                <w:rFonts w:eastAsia="等线" w:ascii="Arial" w:cs="Arial" w:hAnsi="Arial"/>
                <w:sz w:val="22"/>
              </w:rPr>
              <w:t>”，页面提示“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 高精度翻译模型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在“选择翻译模型”框中，点击选用“DeepSeek-R1”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等线" w:ascii="Arial" w:cs="Arial" w:hAnsi="Arial"/>
                <w:i w:val="true"/>
                <w:sz w:val="22"/>
              </w:rPr>
              <w:t>DeepSeek-R1”</w:t>
            </w:r>
            <w:r>
              <w:rPr>
                <w:rFonts w:eastAsia="等线" w:ascii="Arial" w:cs="Arial" w:hAnsi="Arial"/>
                <w:sz w:val="22"/>
              </w:rPr>
              <w:t>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 DeepSeek-R1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在“选择翻译模型”框中，点击选用“</w:t>
            </w:r>
            <w:r>
              <w:rPr>
                <w:rFonts w:eastAsia="等线" w:ascii="Arial" w:cs="Arial" w:hAnsi="Arial"/>
                <w:b w:val="true"/>
                <w:sz w:val="22"/>
              </w:rPr>
              <w:t>通义千问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等线" w:ascii="Arial" w:cs="Arial" w:hAnsi="Arial"/>
                <w:b w:val="true"/>
                <w:i w:val="true"/>
                <w:sz w:val="22"/>
              </w:rPr>
              <w:t>通义千问</w:t>
            </w:r>
            <w:r>
              <w:rPr>
                <w:rFonts w:eastAsia="等线" w:ascii="Arial" w:cs="Arial" w:hAnsi="Arial"/>
                <w:i w:val="true"/>
                <w:sz w:val="22"/>
              </w:rPr>
              <w:t>”</w:t>
            </w:r>
            <w:r>
              <w:rPr>
                <w:rFonts w:eastAsia="等线" w:ascii="Arial" w:cs="Arial" w:hAnsi="Arial"/>
                <w:sz w:val="22"/>
              </w:rPr>
              <w:t>，页面提示“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已选择</w:t>
            </w:r>
            <w:r>
              <w:rPr>
                <w:rFonts w:eastAsia="等线" w:ascii="Arial" w:cs="Arial" w:hAnsi="Arial"/>
                <w:b w:val="true"/>
                <w:i w:val="true"/>
                <w:sz w:val="22"/>
              </w:rPr>
              <w:t>通义千问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选择模型后，点击“更改模型”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框内展示四种可选模型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选择模型后，若显示“中文→英文”，点击“选择文件”按钮上传中文图片或文件，点击“开始翻译”按钮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页面展示上传的文件，“开始翻译”按钮切换为“翻译中…”短暂等待后在下方翻译结果区域显示翻译后的英文文本。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在展示“中文→英文”时，点击文本输入框上方的双箭头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已切换为英文→中文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在展示“英文→中文”时，点击文本输入框上方的双箭头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显示“</w:t>
            </w:r>
            <w:r>
              <w:rPr>
                <w:rFonts w:eastAsia="等线" w:ascii="Arial" w:cs="Arial" w:hAnsi="Arial"/>
                <w:i w:val="true"/>
                <w:sz w:val="22"/>
              </w:rPr>
              <w:t>已切换为中文→英文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选择模型后，若显示“中文→英文”，点击“选择文件”按钮上传英文图片或文件，点击“开始翻译”按钮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页面展示上传的文件，“开始翻译”按钮切换为“翻译中…”短暂等待后在下方翻译结果区域显示图片或文件中的原英文文本。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选择模型后，若显示“英文→中文”，点击“选择文件”按钮上传英文图片或文件，点击“开始翻译”按钮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页面展示上传的文件，“开始翻译”按钮切换为“翻译中…”短暂等待后在下方翻译结果区域显示翻译后的中文文本。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选择模型后，若显示“英文→中文”，点击“选择文件”按钮上传中文图片或文件，点击“开始翻译”按钮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页面展示上传的文件，“开始翻译”按钮切换为“翻译中…”短暂等待后在下方翻译结果区域显示图片或文件中的原中文文本。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color w:val="3370ff"/>
          <w:sz w:val="32"/>
        </w:rPr>
        <w:t xml:space="preserve">3.6 </w:t>
      </w:r>
      <w:r>
        <w:rPr>
          <w:rFonts w:eastAsia="等线" w:ascii="Arial" w:cs="Arial" w:hAnsi="Arial"/>
          <w:b w:val="true"/>
          <w:sz w:val="32"/>
        </w:rPr>
        <w:t>历史查询</w:t>
      </w:r>
      <w:bookmarkEnd w:id="1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225"/>
        <w:gridCol w:w="5055"/>
      </w:tblGrid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历史记录</w:t>
            </w:r>
            <w:r>
              <w:rPr>
                <w:rFonts w:eastAsia="等线" w:ascii="Arial" w:cs="Arial" w:hAnsi="Arial"/>
                <w:sz w:val="22"/>
              </w:rPr>
              <w:t>示例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翻译主界面右上角“历史记录”按钮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点击“导出记录”按钮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系统将所有翻译历史记录导出为一个translation_history.csv文件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点击“返回按钮”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系统跳转到翻译主界面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点击“刷新按钮”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系统更新并展示最新翻译历史记录 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点击“按原文搜索…”输入框，输入文本 （例如“苹果”）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显示所有记录中原文带有“苹果”的记录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点击右上侧的筛选组件，选择“所有记录”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展示所有翻译记录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点击右上侧的筛选组件，选择“仅文本”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只展示文本翻译记录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点击右上侧的筛选组件，选择“仅图片”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只展示图片翻译记录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点击右上侧的筛选组件，选择“仅文件”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只展示文件翻译记录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点击右上侧的排序组件，选择“由新到旧”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将历史记录按时间由最新到最旧排序展示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点击右上侧的排序组件，选择“由旧到新”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将历史记录按时间由最旧到最新排序展示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点击右上侧的排序组件，选择“原文A-Z”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将历史记录按原文首字母由A到Z排序展示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点击右上侧的排序组件，选择“原文Z-A”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将历史记录按原文首字母由Z到A排序展示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点击单条记录左侧的方框选中该条记录，点击“删除”按钮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在历史记录中删除选中的单条记录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点击左下角的“全选”方框，选中当前页面所有记录，点击“删除”按钮 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删除当前页面所有记录，之后显示下一页的记录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点击右下角页面的左箭头“&lt;”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显示前一页的翻译历史记录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点击右下角页面的右箭头“&gt;”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显示后一页的翻译历史记录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color w:val="3370ff"/>
          <w:sz w:val="32"/>
        </w:rPr>
        <w:t xml:space="preserve">3.7 </w:t>
      </w:r>
      <w:r>
        <w:rPr>
          <w:rFonts w:eastAsia="等线" w:ascii="Arial" w:cs="Arial" w:hAnsi="Arial"/>
          <w:b w:val="true"/>
          <w:sz w:val="32"/>
        </w:rPr>
        <w:t>设置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225"/>
        <w:gridCol w:w="5055"/>
      </w:tblGrid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</w:t>
            </w:r>
            <w:r>
              <w:rPr>
                <w:rFonts w:eastAsia="等线" w:ascii="Arial" w:cs="Arial" w:hAnsi="Arial"/>
                <w:sz w:val="22"/>
              </w:rPr>
              <w:t>设置</w:t>
            </w:r>
            <w:r>
              <w:rPr>
                <w:rFonts w:eastAsia="等线" w:ascii="Arial" w:cs="Arial" w:hAnsi="Arial"/>
                <w:sz w:val="22"/>
              </w:rPr>
              <w:t>示例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翻译主界面右上角“设置”按钮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点击“上传头像”按钮，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打开本地的文件资源管理器，可以选择并上传jpg/png格式的图片，将用户头像替换为上传的图片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点击“输入新用户名”输入框，输入新用户名，点击“保存”按钮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将用户的用户名替换为新用户名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拖动选择字体大小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实时预览文本输入框和翻译结果区域的字体大小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选择字体大小，点击选择“深色”模式，点击“确定”按钮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关闭设置弹窗，应用字体大小设置，页面变为深色模式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选择字体大小，点击选择“浅色”模式，点击“确定”按钮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关闭设置弹窗，应用字体大小设置，页面变为浅色模式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点击“取消”按钮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撤销先前更改的设置，关闭设置弹窗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点击“重置”按钮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字体大小改为16px，页面设置为浅色模式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color w:val="3370ff"/>
          <w:sz w:val="32"/>
        </w:rPr>
        <w:t xml:space="preserve">3.8 </w:t>
      </w:r>
      <w:r>
        <w:rPr>
          <w:rFonts w:eastAsia="等线" w:ascii="Arial" w:cs="Arial" w:hAnsi="Arial"/>
          <w:b w:val="true"/>
          <w:sz w:val="32"/>
        </w:rPr>
        <w:t>反馈</w:t>
      </w:r>
      <w:bookmarkEnd w:id="1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225"/>
        <w:gridCol w:w="5055"/>
      </w:tblGrid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</w:t>
            </w:r>
            <w:r>
              <w:rPr>
                <w:rFonts w:eastAsia="等线" w:ascii="Arial" w:cs="Arial" w:hAnsi="Arial"/>
                <w:sz w:val="22"/>
              </w:rPr>
              <w:t>反馈</w:t>
            </w:r>
            <w:r>
              <w:rPr>
                <w:rFonts w:eastAsia="等线" w:ascii="Arial" w:cs="Arial" w:hAnsi="Arial"/>
                <w:sz w:val="22"/>
              </w:rPr>
              <w:t>示例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功能入口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翻译结果上方笑脸/哭脸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输入/动作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期望的输出/响应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点击“笑脸”按钮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在笑脸下方弹出“告诉我们您对此翻译结果的评价”文本输入框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7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点击“笑脸”按钮，输入评价，点击提交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发送反馈并关闭评价弹窗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7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点击“哭脸”按钮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在笑脸下方弹出“告诉我们您对此翻译结果的评价”文本输入框</w:t>
            </w:r>
          </w:p>
        </w:tc>
      </w:tr>
      <w:tr>
        <w:tc>
          <w:tcPr>
            <w:tcW w:w="32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7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点击“哭脸”按钮，输入评价，点击提交</w:t>
            </w:r>
          </w:p>
        </w:tc>
        <w:tc>
          <w:tcPr>
            <w:tcW w:w="50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发送反馈并关闭评价弹窗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21482">
    <w:lvl>
      <w:start w:val="1"/>
      <w:numFmt w:val="decimal"/>
      <w:suff w:val="tab"/>
      <w:lvlText w:val="%1."/>
      <w:rPr>
        <w:color w:val="3370ff"/>
      </w:rPr>
    </w:lvl>
  </w:abstractNum>
  <w:abstractNum w:abstractNumId="621483">
    <w:lvl>
      <w:start w:val="2"/>
      <w:numFmt w:val="decimal"/>
      <w:suff w:val="tab"/>
      <w:lvlText w:val="%1."/>
      <w:rPr>
        <w:color w:val="3370ff"/>
      </w:rPr>
    </w:lvl>
  </w:abstractNum>
  <w:abstractNum w:abstractNumId="621484">
    <w:lvl>
      <w:start w:val="3"/>
      <w:numFmt w:val="decimal"/>
      <w:suff w:val="tab"/>
      <w:lvlText w:val="%1."/>
      <w:rPr>
        <w:color w:val="3370ff"/>
      </w:rPr>
    </w:lvl>
  </w:abstractNum>
  <w:abstractNum w:abstractNumId="621485">
    <w:lvl>
      <w:start w:val="4"/>
      <w:numFmt w:val="decimal"/>
      <w:suff w:val="tab"/>
      <w:lvlText w:val="%1."/>
      <w:rPr>
        <w:color w:val="3370ff"/>
      </w:rPr>
    </w:lvl>
  </w:abstractNum>
  <w:abstractNum w:abstractNumId="621486">
    <w:lvl>
      <w:start w:val="5"/>
      <w:numFmt w:val="decimal"/>
      <w:suff w:val="tab"/>
      <w:lvlText w:val="%1."/>
      <w:rPr>
        <w:color w:val="3370ff"/>
      </w:rPr>
    </w:lvl>
  </w:abstractNum>
  <w:abstractNum w:abstractNumId="621487">
    <w:lvl>
      <w:start w:val="6"/>
      <w:numFmt w:val="decimal"/>
      <w:suff w:val="tab"/>
      <w:lvlText w:val="%1."/>
      <w:rPr>
        <w:color w:val="3370ff"/>
      </w:rPr>
    </w:lvl>
  </w:abstractNum>
  <w:abstractNum w:abstractNumId="621488">
    <w:lvl>
      <w:start w:val="7"/>
      <w:numFmt w:val="decimal"/>
      <w:suff w:val="tab"/>
      <w:lvlText w:val="%1."/>
      <w:rPr>
        <w:color w:val="3370ff"/>
      </w:rPr>
    </w:lvl>
  </w:abstractNum>
  <w:abstractNum w:abstractNumId="621489">
    <w:lvl>
      <w:start w:val="8"/>
      <w:numFmt w:val="decimal"/>
      <w:suff w:val="tab"/>
      <w:lvlText w:val="%1."/>
      <w:rPr>
        <w:color w:val="3370ff"/>
      </w:rPr>
    </w:lvl>
  </w:abstractNum>
  <w:abstractNum w:abstractNumId="621490">
    <w:lvl>
      <w:start w:val="9"/>
      <w:numFmt w:val="decimal"/>
      <w:suff w:val="tab"/>
      <w:lvlText w:val="%1."/>
      <w:rPr>
        <w:color w:val="3370ff"/>
      </w:rPr>
    </w:lvl>
  </w:abstractNum>
  <w:abstractNum w:abstractNumId="621491">
    <w:lvl>
      <w:start w:val="4"/>
      <w:numFmt w:val="decimal"/>
      <w:suff w:val="tab"/>
      <w:lvlText w:val="%1."/>
      <w:rPr>
        <w:color w:val="3370ff"/>
      </w:rPr>
    </w:lvl>
  </w:abstractNum>
  <w:abstractNum w:abstractNumId="621492">
    <w:lvl>
      <w:start w:val="1"/>
      <w:numFmt w:val="decimal"/>
      <w:suff w:val="tab"/>
      <w:lvlText w:val="%1."/>
      <w:rPr>
        <w:color w:val="3370ff"/>
      </w:rPr>
    </w:lvl>
  </w:abstractNum>
  <w:abstractNum w:abstractNumId="621493">
    <w:lvl>
      <w:start w:val="2"/>
      <w:numFmt w:val="decimal"/>
      <w:suff w:val="tab"/>
      <w:lvlText w:val="%1."/>
      <w:rPr>
        <w:color w:val="3370ff"/>
      </w:rPr>
    </w:lvl>
  </w:abstractNum>
  <w:abstractNum w:abstractNumId="621494">
    <w:lvl>
      <w:start w:val="3"/>
      <w:numFmt w:val="decimal"/>
      <w:suff w:val="tab"/>
      <w:lvlText w:val="%1."/>
      <w:rPr>
        <w:color w:val="3370ff"/>
      </w:rPr>
    </w:lvl>
  </w:abstractNum>
  <w:abstractNum w:abstractNumId="621495">
    <w:lvl>
      <w:start w:val="4"/>
      <w:numFmt w:val="decimal"/>
      <w:suff w:val="tab"/>
      <w:lvlText w:val="%1."/>
      <w:rPr>
        <w:color w:val="3370ff"/>
      </w:rPr>
    </w:lvl>
  </w:abstractNum>
  <w:abstractNum w:abstractNumId="621496">
    <w:lvl>
      <w:start w:val="5"/>
      <w:numFmt w:val="decimal"/>
      <w:suff w:val="tab"/>
      <w:lvlText w:val="%1."/>
      <w:rPr>
        <w:color w:val="3370ff"/>
      </w:rPr>
    </w:lvl>
  </w:abstractNum>
  <w:abstractNum w:abstractNumId="621497">
    <w:lvl>
      <w:start w:val="6"/>
      <w:numFmt w:val="decimal"/>
      <w:suff w:val="tab"/>
      <w:lvlText w:val="%1."/>
      <w:rPr>
        <w:color w:val="3370ff"/>
      </w:rPr>
    </w:lvl>
  </w:abstractNum>
  <w:abstractNum w:abstractNumId="621498">
    <w:lvl>
      <w:start w:val="7"/>
      <w:numFmt w:val="decimal"/>
      <w:suff w:val="tab"/>
      <w:lvlText w:val="%1."/>
      <w:rPr>
        <w:color w:val="3370ff"/>
      </w:rPr>
    </w:lvl>
  </w:abstractNum>
  <w:abstractNum w:abstractNumId="621499">
    <w:lvl>
      <w:start w:val="8"/>
      <w:numFmt w:val="decimal"/>
      <w:suff w:val="tab"/>
      <w:lvlText w:val="%1."/>
      <w:rPr>
        <w:color w:val="3370ff"/>
      </w:rPr>
    </w:lvl>
  </w:abstractNum>
  <w:abstractNum w:abstractNumId="621500">
    <w:lvl>
      <w:start w:val="9"/>
      <w:numFmt w:val="decimal"/>
      <w:suff w:val="tab"/>
      <w:lvlText w:val="%1."/>
      <w:rPr>
        <w:color w:val="3370ff"/>
      </w:rPr>
    </w:lvl>
  </w:abstractNum>
  <w:abstractNum w:abstractNumId="621501">
    <w:lvl>
      <w:start w:val="10"/>
      <w:numFmt w:val="decimal"/>
      <w:suff w:val="tab"/>
      <w:lvlText w:val="%1."/>
      <w:rPr>
        <w:color w:val="3370ff"/>
      </w:rPr>
    </w:lvl>
  </w:abstractNum>
  <w:abstractNum w:abstractNumId="621502">
    <w:lvl>
      <w:start w:val="1"/>
      <w:numFmt w:val="decimal"/>
      <w:suff w:val="tab"/>
      <w:lvlText w:val="%1."/>
      <w:rPr>
        <w:color w:val="3370ff"/>
      </w:rPr>
    </w:lvl>
  </w:abstractNum>
  <w:abstractNum w:abstractNumId="621503">
    <w:lvl>
      <w:start w:val="2"/>
      <w:numFmt w:val="decimal"/>
      <w:suff w:val="tab"/>
      <w:lvlText w:val="%1."/>
      <w:rPr>
        <w:color w:val="3370ff"/>
      </w:rPr>
    </w:lvl>
  </w:abstractNum>
  <w:abstractNum w:abstractNumId="621504">
    <w:lvl>
      <w:start w:val="3"/>
      <w:numFmt w:val="decimal"/>
      <w:suff w:val="tab"/>
      <w:lvlText w:val="%1."/>
      <w:rPr>
        <w:color w:val="3370ff"/>
      </w:rPr>
    </w:lvl>
  </w:abstractNum>
  <w:abstractNum w:abstractNumId="621505">
    <w:lvl>
      <w:start w:val="4"/>
      <w:numFmt w:val="decimal"/>
      <w:suff w:val="tab"/>
      <w:lvlText w:val="%1."/>
      <w:rPr>
        <w:color w:val="3370ff"/>
      </w:rPr>
    </w:lvl>
  </w:abstractNum>
  <w:abstractNum w:abstractNumId="621506">
    <w:lvl>
      <w:start w:val="5"/>
      <w:numFmt w:val="decimal"/>
      <w:suff w:val="tab"/>
      <w:lvlText w:val="%1."/>
      <w:rPr>
        <w:color w:val="3370ff"/>
      </w:rPr>
    </w:lvl>
  </w:abstractNum>
  <w:abstractNum w:abstractNumId="621507">
    <w:lvl>
      <w:start w:val="6"/>
      <w:numFmt w:val="decimal"/>
      <w:suff w:val="tab"/>
      <w:lvlText w:val="%1."/>
      <w:rPr>
        <w:color w:val="3370ff"/>
      </w:rPr>
    </w:lvl>
  </w:abstractNum>
  <w:abstractNum w:abstractNumId="621508">
    <w:lvl>
      <w:start w:val="7"/>
      <w:numFmt w:val="decimal"/>
      <w:suff w:val="tab"/>
      <w:lvlText w:val="%1."/>
      <w:rPr>
        <w:color w:val="3370ff"/>
      </w:rPr>
    </w:lvl>
  </w:abstractNum>
  <w:abstractNum w:abstractNumId="621509">
    <w:lvl>
      <w:start w:val="8"/>
      <w:numFmt w:val="decimal"/>
      <w:suff w:val="tab"/>
      <w:lvlText w:val="%1."/>
      <w:rPr>
        <w:color w:val="3370ff"/>
      </w:rPr>
    </w:lvl>
  </w:abstractNum>
  <w:abstractNum w:abstractNumId="621510">
    <w:lvl>
      <w:start w:val="9"/>
      <w:numFmt w:val="decimal"/>
      <w:suff w:val="tab"/>
      <w:lvlText w:val="%1."/>
      <w:rPr>
        <w:color w:val="3370ff"/>
      </w:rPr>
    </w:lvl>
  </w:abstractNum>
  <w:abstractNum w:abstractNumId="621511">
    <w:lvl>
      <w:start w:val="10"/>
      <w:numFmt w:val="decimal"/>
      <w:suff w:val="tab"/>
      <w:lvlText w:val="%1."/>
      <w:rPr>
        <w:color w:val="3370ff"/>
      </w:rPr>
    </w:lvl>
  </w:abstractNum>
  <w:abstractNum w:abstractNumId="621512">
    <w:lvl>
      <w:start w:val="11"/>
      <w:numFmt w:val="decimal"/>
      <w:suff w:val="tab"/>
      <w:lvlText w:val="%1."/>
      <w:rPr>
        <w:color w:val="3370ff"/>
      </w:rPr>
    </w:lvl>
  </w:abstractNum>
  <w:abstractNum w:abstractNumId="621513">
    <w:lvl>
      <w:start w:val="12"/>
      <w:numFmt w:val="decimal"/>
      <w:suff w:val="tab"/>
      <w:lvlText w:val="%1."/>
      <w:rPr>
        <w:color w:val="3370ff"/>
      </w:rPr>
    </w:lvl>
  </w:abstractNum>
  <w:abstractNum w:abstractNumId="621514">
    <w:lvl>
      <w:start w:val="13"/>
      <w:numFmt w:val="decimal"/>
      <w:suff w:val="tab"/>
      <w:lvlText w:val="%1."/>
      <w:rPr>
        <w:color w:val="3370ff"/>
      </w:rPr>
    </w:lvl>
  </w:abstractNum>
  <w:abstractNum w:abstractNumId="621515">
    <w:lvl>
      <w:start w:val="14"/>
      <w:numFmt w:val="decimal"/>
      <w:suff w:val="tab"/>
      <w:lvlText w:val="%1."/>
      <w:rPr>
        <w:color w:val="3370ff"/>
      </w:rPr>
    </w:lvl>
  </w:abstractNum>
  <w:abstractNum w:abstractNumId="621516">
    <w:lvl>
      <w:start w:val="1"/>
      <w:numFmt w:val="decimal"/>
      <w:suff w:val="tab"/>
      <w:lvlText w:val="%1."/>
      <w:rPr>
        <w:color w:val="3370ff"/>
      </w:rPr>
    </w:lvl>
  </w:abstractNum>
  <w:abstractNum w:abstractNumId="621517">
    <w:lvl>
      <w:start w:val="2"/>
      <w:numFmt w:val="decimal"/>
      <w:suff w:val="tab"/>
      <w:lvlText w:val="%1."/>
      <w:rPr>
        <w:color w:val="3370ff"/>
      </w:rPr>
    </w:lvl>
  </w:abstractNum>
  <w:abstractNum w:abstractNumId="621518">
    <w:lvl>
      <w:start w:val="3"/>
      <w:numFmt w:val="decimal"/>
      <w:suff w:val="tab"/>
      <w:lvlText w:val="%1."/>
      <w:rPr>
        <w:color w:val="3370ff"/>
      </w:rPr>
    </w:lvl>
  </w:abstractNum>
  <w:abstractNum w:abstractNumId="621519">
    <w:lvl>
      <w:start w:val="4"/>
      <w:numFmt w:val="decimal"/>
      <w:suff w:val="tab"/>
      <w:lvlText w:val="%1."/>
      <w:rPr>
        <w:color w:val="3370ff"/>
      </w:rPr>
    </w:lvl>
  </w:abstractNum>
  <w:abstractNum w:abstractNumId="621520">
    <w:lvl>
      <w:start w:val="5"/>
      <w:numFmt w:val="decimal"/>
      <w:suff w:val="tab"/>
      <w:lvlText w:val="%1."/>
      <w:rPr>
        <w:color w:val="3370ff"/>
      </w:rPr>
    </w:lvl>
  </w:abstractNum>
  <w:abstractNum w:abstractNumId="621521">
    <w:lvl>
      <w:start w:val="6"/>
      <w:numFmt w:val="decimal"/>
      <w:suff w:val="tab"/>
      <w:lvlText w:val="%1."/>
      <w:rPr>
        <w:color w:val="3370ff"/>
      </w:rPr>
    </w:lvl>
  </w:abstractNum>
  <w:abstractNum w:abstractNumId="621522">
    <w:lvl>
      <w:start w:val="7"/>
      <w:numFmt w:val="decimal"/>
      <w:suff w:val="tab"/>
      <w:lvlText w:val="%1."/>
      <w:rPr>
        <w:color w:val="3370ff"/>
      </w:rPr>
    </w:lvl>
  </w:abstractNum>
  <w:abstractNum w:abstractNumId="621523">
    <w:lvl>
      <w:start w:val="8"/>
      <w:numFmt w:val="decimal"/>
      <w:suff w:val="tab"/>
      <w:lvlText w:val="%1."/>
      <w:rPr>
        <w:color w:val="3370ff"/>
      </w:rPr>
    </w:lvl>
  </w:abstractNum>
  <w:abstractNum w:abstractNumId="621524">
    <w:lvl>
      <w:start w:val="9"/>
      <w:numFmt w:val="decimal"/>
      <w:suff w:val="tab"/>
      <w:lvlText w:val="%1."/>
      <w:rPr>
        <w:color w:val="3370ff"/>
      </w:rPr>
    </w:lvl>
  </w:abstractNum>
  <w:abstractNum w:abstractNumId="621525">
    <w:lvl>
      <w:start w:val="10"/>
      <w:numFmt w:val="decimal"/>
      <w:suff w:val="tab"/>
      <w:lvlText w:val="%1."/>
      <w:rPr>
        <w:color w:val="3370ff"/>
      </w:rPr>
    </w:lvl>
  </w:abstractNum>
  <w:abstractNum w:abstractNumId="621526">
    <w:lvl>
      <w:start w:val="11"/>
      <w:numFmt w:val="decimal"/>
      <w:suff w:val="tab"/>
      <w:lvlText w:val="%1."/>
      <w:rPr>
        <w:color w:val="3370ff"/>
      </w:rPr>
    </w:lvl>
  </w:abstractNum>
  <w:abstractNum w:abstractNumId="621527">
    <w:lvl>
      <w:start w:val="1"/>
      <w:numFmt w:val="decimal"/>
      <w:suff w:val="tab"/>
      <w:lvlText w:val="%1."/>
      <w:rPr>
        <w:color w:val="3370ff"/>
      </w:rPr>
    </w:lvl>
  </w:abstractNum>
  <w:abstractNum w:abstractNumId="621528">
    <w:lvl>
      <w:start w:val="2"/>
      <w:numFmt w:val="decimal"/>
      <w:suff w:val="tab"/>
      <w:lvlText w:val="%1."/>
      <w:rPr>
        <w:color w:val="3370ff"/>
      </w:rPr>
    </w:lvl>
  </w:abstractNum>
  <w:abstractNum w:abstractNumId="621529">
    <w:lvl>
      <w:start w:val="3"/>
      <w:numFmt w:val="decimal"/>
      <w:suff w:val="tab"/>
      <w:lvlText w:val="%1."/>
      <w:rPr>
        <w:color w:val="3370ff"/>
      </w:rPr>
    </w:lvl>
  </w:abstractNum>
  <w:abstractNum w:abstractNumId="621530">
    <w:lvl>
      <w:start w:val="4"/>
      <w:numFmt w:val="decimal"/>
      <w:suff w:val="tab"/>
      <w:lvlText w:val="%1."/>
      <w:rPr>
        <w:color w:val="3370ff"/>
      </w:rPr>
    </w:lvl>
  </w:abstractNum>
  <w:abstractNum w:abstractNumId="621531">
    <w:lvl>
      <w:start w:val="5"/>
      <w:numFmt w:val="decimal"/>
      <w:suff w:val="tab"/>
      <w:lvlText w:val="%1."/>
      <w:rPr>
        <w:color w:val="3370ff"/>
      </w:rPr>
    </w:lvl>
  </w:abstractNum>
  <w:abstractNum w:abstractNumId="621532">
    <w:lvl>
      <w:start w:val="6"/>
      <w:numFmt w:val="decimal"/>
      <w:suff w:val="tab"/>
      <w:lvlText w:val="%1."/>
      <w:rPr>
        <w:color w:val="3370ff"/>
      </w:rPr>
    </w:lvl>
  </w:abstractNum>
  <w:abstractNum w:abstractNumId="621533">
    <w:lvl>
      <w:start w:val="7"/>
      <w:numFmt w:val="decimal"/>
      <w:suff w:val="tab"/>
      <w:lvlText w:val="%1."/>
      <w:rPr>
        <w:color w:val="3370ff"/>
      </w:rPr>
    </w:lvl>
  </w:abstractNum>
  <w:abstractNum w:abstractNumId="621534">
    <w:lvl>
      <w:start w:val="8"/>
      <w:numFmt w:val="decimal"/>
      <w:suff w:val="tab"/>
      <w:lvlText w:val="%1."/>
      <w:rPr>
        <w:color w:val="3370ff"/>
      </w:rPr>
    </w:lvl>
  </w:abstractNum>
  <w:abstractNum w:abstractNumId="621535">
    <w:lvl>
      <w:start w:val="9"/>
      <w:numFmt w:val="decimal"/>
      <w:suff w:val="tab"/>
      <w:lvlText w:val="%1."/>
      <w:rPr>
        <w:color w:val="3370ff"/>
      </w:rPr>
    </w:lvl>
  </w:abstractNum>
  <w:abstractNum w:abstractNumId="621536">
    <w:lvl>
      <w:start w:val="10"/>
      <w:numFmt w:val="decimal"/>
      <w:suff w:val="tab"/>
      <w:lvlText w:val="%1."/>
      <w:rPr>
        <w:color w:val="3370ff"/>
      </w:rPr>
    </w:lvl>
  </w:abstractNum>
  <w:abstractNum w:abstractNumId="621537">
    <w:lvl>
      <w:start w:val="11"/>
      <w:numFmt w:val="decimal"/>
      <w:suff w:val="tab"/>
      <w:lvlText w:val="%1."/>
      <w:rPr>
        <w:color w:val="3370ff"/>
      </w:rPr>
    </w:lvl>
  </w:abstractNum>
  <w:abstractNum w:abstractNumId="621538">
    <w:lvl>
      <w:start w:val="12"/>
      <w:numFmt w:val="decimal"/>
      <w:suff w:val="tab"/>
      <w:lvlText w:val="%1."/>
      <w:rPr>
        <w:color w:val="3370ff"/>
      </w:rPr>
    </w:lvl>
  </w:abstractNum>
  <w:abstractNum w:abstractNumId="621539">
    <w:lvl>
      <w:start w:val="13"/>
      <w:numFmt w:val="decimal"/>
      <w:suff w:val="tab"/>
      <w:lvlText w:val="%1."/>
      <w:rPr>
        <w:color w:val="3370ff"/>
      </w:rPr>
    </w:lvl>
  </w:abstractNum>
  <w:abstractNum w:abstractNumId="621540">
    <w:lvl>
      <w:start w:val="14"/>
      <w:numFmt w:val="decimal"/>
      <w:suff w:val="tab"/>
      <w:lvlText w:val="%1."/>
      <w:rPr>
        <w:color w:val="3370ff"/>
      </w:rPr>
    </w:lvl>
  </w:abstractNum>
  <w:abstractNum w:abstractNumId="621541">
    <w:lvl>
      <w:start w:val="15"/>
      <w:numFmt w:val="decimal"/>
      <w:suff w:val="tab"/>
      <w:lvlText w:val="%1."/>
      <w:rPr>
        <w:color w:val="3370ff"/>
      </w:rPr>
    </w:lvl>
  </w:abstractNum>
  <w:abstractNum w:abstractNumId="621542">
    <w:lvl>
      <w:start w:val="16"/>
      <w:numFmt w:val="decimal"/>
      <w:suff w:val="tab"/>
      <w:lvlText w:val="%1."/>
      <w:rPr>
        <w:color w:val="3370ff"/>
      </w:rPr>
    </w:lvl>
  </w:abstractNum>
  <w:abstractNum w:abstractNumId="621543">
    <w:lvl>
      <w:start w:val="1"/>
      <w:numFmt w:val="decimal"/>
      <w:suff w:val="tab"/>
      <w:lvlText w:val="%1."/>
      <w:rPr>
        <w:color w:val="3370ff"/>
      </w:rPr>
    </w:lvl>
  </w:abstractNum>
  <w:abstractNum w:abstractNumId="621544">
    <w:lvl>
      <w:start w:val="2"/>
      <w:numFmt w:val="decimal"/>
      <w:suff w:val="tab"/>
      <w:lvlText w:val="%1."/>
      <w:rPr>
        <w:color w:val="3370ff"/>
      </w:rPr>
    </w:lvl>
  </w:abstractNum>
  <w:abstractNum w:abstractNumId="621545">
    <w:lvl>
      <w:start w:val="3"/>
      <w:numFmt w:val="decimal"/>
      <w:suff w:val="tab"/>
      <w:lvlText w:val="%1."/>
      <w:rPr>
        <w:color w:val="3370ff"/>
      </w:rPr>
    </w:lvl>
  </w:abstractNum>
  <w:abstractNum w:abstractNumId="621546">
    <w:lvl>
      <w:start w:val="4"/>
      <w:numFmt w:val="decimal"/>
      <w:suff w:val="tab"/>
      <w:lvlText w:val="%1."/>
      <w:rPr>
        <w:color w:val="3370ff"/>
      </w:rPr>
    </w:lvl>
  </w:abstractNum>
  <w:abstractNum w:abstractNumId="621547">
    <w:lvl>
      <w:start w:val="5"/>
      <w:numFmt w:val="decimal"/>
      <w:suff w:val="tab"/>
      <w:lvlText w:val="%1."/>
      <w:rPr>
        <w:color w:val="3370ff"/>
      </w:rPr>
    </w:lvl>
  </w:abstractNum>
  <w:abstractNum w:abstractNumId="621548">
    <w:lvl>
      <w:start w:val="6"/>
      <w:numFmt w:val="decimal"/>
      <w:suff w:val="tab"/>
      <w:lvlText w:val="%1."/>
      <w:rPr>
        <w:color w:val="3370ff"/>
      </w:rPr>
    </w:lvl>
  </w:abstractNum>
  <w:abstractNum w:abstractNumId="621549">
    <w:lvl>
      <w:start w:val="7"/>
      <w:numFmt w:val="decimal"/>
      <w:suff w:val="tab"/>
      <w:lvlText w:val="%1."/>
      <w:rPr>
        <w:color w:val="3370ff"/>
      </w:rPr>
    </w:lvl>
  </w:abstractNum>
  <w:abstractNum w:abstractNumId="621550">
    <w:lvl>
      <w:start w:val="1"/>
      <w:numFmt w:val="decimal"/>
      <w:suff w:val="tab"/>
      <w:lvlText w:val="%1."/>
      <w:rPr>
        <w:color w:val="3370ff"/>
      </w:rPr>
    </w:lvl>
  </w:abstractNum>
  <w:abstractNum w:abstractNumId="621551">
    <w:lvl>
      <w:start w:val="2"/>
      <w:numFmt w:val="decimal"/>
      <w:suff w:val="tab"/>
      <w:lvlText w:val="%1."/>
      <w:rPr>
        <w:color w:val="3370ff"/>
      </w:rPr>
    </w:lvl>
  </w:abstractNum>
  <w:abstractNum w:abstractNumId="621552">
    <w:lvl>
      <w:start w:val="3"/>
      <w:numFmt w:val="decimal"/>
      <w:suff w:val="tab"/>
      <w:lvlText w:val="%1."/>
      <w:rPr>
        <w:color w:val="3370ff"/>
      </w:rPr>
    </w:lvl>
  </w:abstractNum>
  <w:abstractNum w:abstractNumId="621553">
    <w:lvl>
      <w:start w:val="4"/>
      <w:numFmt w:val="decimal"/>
      <w:suff w:val="tab"/>
      <w:lvlText w:val="%1."/>
      <w:rPr>
        <w:color w:val="3370ff"/>
      </w:rPr>
    </w:lvl>
  </w:abstractNum>
  <w:num w:numId="1">
    <w:abstractNumId w:val="621482"/>
  </w:num>
  <w:num w:numId="2">
    <w:abstractNumId w:val="621483"/>
  </w:num>
  <w:num w:numId="3">
    <w:abstractNumId w:val="621484"/>
  </w:num>
  <w:num w:numId="4">
    <w:abstractNumId w:val="621485"/>
  </w:num>
  <w:num w:numId="5">
    <w:abstractNumId w:val="621486"/>
  </w:num>
  <w:num w:numId="6">
    <w:abstractNumId w:val="621487"/>
  </w:num>
  <w:num w:numId="7">
    <w:abstractNumId w:val="621488"/>
  </w:num>
  <w:num w:numId="8">
    <w:abstractNumId w:val="621489"/>
  </w:num>
  <w:num w:numId="9">
    <w:abstractNumId w:val="621490"/>
  </w:num>
  <w:num w:numId="10">
    <w:abstractNumId w:val="621491"/>
  </w:num>
  <w:num w:numId="11">
    <w:abstractNumId w:val="621492"/>
  </w:num>
  <w:num w:numId="12">
    <w:abstractNumId w:val="621493"/>
  </w:num>
  <w:num w:numId="13">
    <w:abstractNumId w:val="621494"/>
  </w:num>
  <w:num w:numId="14">
    <w:abstractNumId w:val="621495"/>
  </w:num>
  <w:num w:numId="15">
    <w:abstractNumId w:val="621496"/>
  </w:num>
  <w:num w:numId="16">
    <w:abstractNumId w:val="621497"/>
  </w:num>
  <w:num w:numId="17">
    <w:abstractNumId w:val="621498"/>
  </w:num>
  <w:num w:numId="18">
    <w:abstractNumId w:val="621499"/>
  </w:num>
  <w:num w:numId="19">
    <w:abstractNumId w:val="621500"/>
  </w:num>
  <w:num w:numId="20">
    <w:abstractNumId w:val="621501"/>
  </w:num>
  <w:num w:numId="21">
    <w:abstractNumId w:val="621502"/>
  </w:num>
  <w:num w:numId="22">
    <w:abstractNumId w:val="621503"/>
  </w:num>
  <w:num w:numId="23">
    <w:abstractNumId w:val="621504"/>
  </w:num>
  <w:num w:numId="24">
    <w:abstractNumId w:val="621505"/>
  </w:num>
  <w:num w:numId="25">
    <w:abstractNumId w:val="621506"/>
  </w:num>
  <w:num w:numId="26">
    <w:abstractNumId w:val="621507"/>
  </w:num>
  <w:num w:numId="27">
    <w:abstractNumId w:val="621508"/>
  </w:num>
  <w:num w:numId="28">
    <w:abstractNumId w:val="621509"/>
  </w:num>
  <w:num w:numId="29">
    <w:abstractNumId w:val="621510"/>
  </w:num>
  <w:num w:numId="30">
    <w:abstractNumId w:val="621511"/>
  </w:num>
  <w:num w:numId="31">
    <w:abstractNumId w:val="621512"/>
  </w:num>
  <w:num w:numId="32">
    <w:abstractNumId w:val="621513"/>
  </w:num>
  <w:num w:numId="33">
    <w:abstractNumId w:val="621514"/>
  </w:num>
  <w:num w:numId="34">
    <w:abstractNumId w:val="621515"/>
  </w:num>
  <w:num w:numId="35">
    <w:abstractNumId w:val="621516"/>
  </w:num>
  <w:num w:numId="36">
    <w:abstractNumId w:val="621517"/>
  </w:num>
  <w:num w:numId="37">
    <w:abstractNumId w:val="621518"/>
  </w:num>
  <w:num w:numId="38">
    <w:abstractNumId w:val="621519"/>
  </w:num>
  <w:num w:numId="39">
    <w:abstractNumId w:val="621520"/>
  </w:num>
  <w:num w:numId="40">
    <w:abstractNumId w:val="621521"/>
  </w:num>
  <w:num w:numId="41">
    <w:abstractNumId w:val="621522"/>
  </w:num>
  <w:num w:numId="42">
    <w:abstractNumId w:val="621523"/>
  </w:num>
  <w:num w:numId="43">
    <w:abstractNumId w:val="621524"/>
  </w:num>
  <w:num w:numId="44">
    <w:abstractNumId w:val="621525"/>
  </w:num>
  <w:num w:numId="45">
    <w:abstractNumId w:val="621526"/>
  </w:num>
  <w:num w:numId="46">
    <w:abstractNumId w:val="621527"/>
  </w:num>
  <w:num w:numId="47">
    <w:abstractNumId w:val="621528"/>
  </w:num>
  <w:num w:numId="48">
    <w:abstractNumId w:val="621529"/>
  </w:num>
  <w:num w:numId="49">
    <w:abstractNumId w:val="621530"/>
  </w:num>
  <w:num w:numId="50">
    <w:abstractNumId w:val="621531"/>
  </w:num>
  <w:num w:numId="51">
    <w:abstractNumId w:val="621532"/>
  </w:num>
  <w:num w:numId="52">
    <w:abstractNumId w:val="621533"/>
  </w:num>
  <w:num w:numId="53">
    <w:abstractNumId w:val="621534"/>
  </w:num>
  <w:num w:numId="54">
    <w:abstractNumId w:val="621535"/>
  </w:num>
  <w:num w:numId="55">
    <w:abstractNumId w:val="621536"/>
  </w:num>
  <w:num w:numId="56">
    <w:abstractNumId w:val="621537"/>
  </w:num>
  <w:num w:numId="57">
    <w:abstractNumId w:val="621538"/>
  </w:num>
  <w:num w:numId="58">
    <w:abstractNumId w:val="621539"/>
  </w:num>
  <w:num w:numId="59">
    <w:abstractNumId w:val="621540"/>
  </w:num>
  <w:num w:numId="60">
    <w:abstractNumId w:val="621541"/>
  </w:num>
  <w:num w:numId="61">
    <w:abstractNumId w:val="621542"/>
  </w:num>
  <w:num w:numId="62">
    <w:abstractNumId w:val="621543"/>
  </w:num>
  <w:num w:numId="63">
    <w:abstractNumId w:val="621544"/>
  </w:num>
  <w:num w:numId="64">
    <w:abstractNumId w:val="621545"/>
  </w:num>
  <w:num w:numId="65">
    <w:abstractNumId w:val="621546"/>
  </w:num>
  <w:num w:numId="66">
    <w:abstractNumId w:val="621547"/>
  </w:num>
  <w:num w:numId="67">
    <w:abstractNumId w:val="621548"/>
  </w:num>
  <w:num w:numId="68">
    <w:abstractNumId w:val="621549"/>
  </w:num>
  <w:num w:numId="69">
    <w:abstractNumId w:val="621550"/>
  </w:num>
  <w:num w:numId="70">
    <w:abstractNumId w:val="621551"/>
  </w:num>
  <w:num w:numId="71">
    <w:abstractNumId w:val="621552"/>
  </w:num>
  <w:num w:numId="72">
    <w:abstractNumId w:val="62155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2025-09-17T07:25:19Z</dcterms:created>
  <dc:creator>Apache POI</dc:creator>
</cp:coreProperties>
</file>