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 Battery Analysis Report</w:t>
      </w:r>
    </w:p>
    <w:p>
      <w:r>
        <w:t>Generated On: 22-06-2026 10:55:00</w:t>
      </w:r>
    </w:p>
    <w:p>
      <w:pPr>
        <w:pStyle w:val="Heading2"/>
      </w:pPr>
      <w:r>
        <w:t>Dataset Information</w:t>
      </w:r>
    </w:p>
    <w:p>
      <w:r>
        <w:t>Number of Records: 8640</w:t>
      </w:r>
    </w:p>
    <w:p>
      <w:r>
        <w:t>Start Time: 2026-01-01 00:00:00</w:t>
      </w:r>
    </w:p>
    <w:p>
      <w:r>
        <w:t>End Time: 2026-01-01 23:59:50</w:t>
      </w:r>
    </w:p>
    <w:p>
      <w:pPr>
        <w:pStyle w:val="Heading2"/>
      </w:pPr>
      <w:r>
        <w:t>Battery Health Summary</w:t>
      </w:r>
    </w:p>
    <w:p>
      <w:r>
        <w:t>Latest SoC: 94.98%</w:t>
      </w:r>
    </w:p>
    <w:p>
      <w:r>
        <w:t>Minimum SoC: 64.95%</w:t>
      </w:r>
    </w:p>
    <w:p>
      <w:r>
        <w:t>Maximum SoC: 95.0%</w:t>
      </w:r>
    </w:p>
    <w:p>
      <w:r>
        <w:t>Latest SoH: 95%</w:t>
      </w:r>
    </w:p>
    <w:p>
      <w:r>
        <w:t>Battery Health Status: Excellent</w:t>
      </w:r>
    </w:p>
    <w:p>
      <w:pPr>
        <w:pStyle w:val="Heading2"/>
      </w:pPr>
      <w:r>
        <w:t>Charging Analysis</w:t>
      </w:r>
    </w:p>
    <w:p>
      <w:r>
        <w:t>Total Charging Duration: 2.5 hours</w:t>
      </w:r>
    </w:p>
    <w:p>
      <w:r>
        <w:t>Charging Activity Status: Moderate charging activity</w:t>
      </w:r>
    </w:p>
    <w:p>
      <w:pPr>
        <w:pStyle w:val="Heading2"/>
      </w:pPr>
      <w:r>
        <w:t>State of Charge Trend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