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consolidation</w:t>
      </w:r>
      <w:r>
        <w:t xml:space="preserve"> </w:t>
      </w:r>
      <w:r>
        <w:t xml:space="preserve">data</w:t>
      </w:r>
      <w:r>
        <w:t xml:space="preserve"> </w:t>
      </w:r>
      <w:r>
        <w:t xml:space="preserve">set</w:t>
      </w:r>
      <w:r>
        <w:t xml:space="preserve"> </w:t>
      </w:r>
      <w:r>
        <w:t xml:space="preserve">analysis</w:t>
      </w:r>
    </w:p>
    <w:p>
      <w:pPr>
        <w:pStyle w:val="Author"/>
      </w:pPr>
      <w:r>
        <w:t xml:space="preserve">Kristin</w:t>
      </w:r>
      <w:r>
        <w:t xml:space="preserve"> </w:t>
      </w:r>
      <w:r>
        <w:t xml:space="preserve">Dobbin</w:t>
      </w:r>
    </w:p>
    <w:p>
      <w:pPr>
        <w:pStyle w:val="Date"/>
      </w:pPr>
      <w:r>
        <w:t xml:space="preserve">6/23/2022</w:t>
      </w:r>
    </w:p>
    <w:bookmarkStart w:id="20" w:name="overview-of-consolidations-2015-2021"/>
    <w:p>
      <w:pPr>
        <w:pStyle w:val="Heading2"/>
      </w:pPr>
      <w:r>
        <w:t xml:space="preserve">Overview of consolidations 2015-2021</w:t>
      </w:r>
    </w:p>
    <w:p>
      <w:pPr>
        <w:pStyle w:val="FirstParagraph"/>
      </w:pPr>
      <w:r>
        <w:t xml:space="preserve">In 2015 there were 7,642 Public Water Systems (PWSs) in the state, 3,015 of which were Community Water Systems (CWS) (2015 Safe Drinking Water Plan). Today, the state counts 7,351 PWS with 2,870 CWS. Some of this reduction can be attributed to system consolidations. Compiling various state data sources we have identified 185 cases of completed consolidation projects between 2015 and 2016.</w:t>
      </w:r>
    </w:p>
    <w:p>
      <w:pPr>
        <w:pStyle w:val="BodyText"/>
      </w:pPr>
      <w:r>
        <w:t xml:space="preserve">These consolidations have taken place in nearly every county (48 total) and involve the water providers of an estimated 11420338 Californians. Of them, 131511 have been incorporated as customers into a new water system as part of a consolidation project, in other words, were previously served by a</w:t>
      </w:r>
      <w:r>
        <w:t xml:space="preserve"> </w:t>
      </w:r>
      <w:r>
        <w:rPr>
          <w:iCs/>
          <w:i/>
        </w:rPr>
        <w:t xml:space="preserve">consolidated</w:t>
      </w:r>
      <w:r>
        <w:t xml:space="preserve"> </w:t>
      </w:r>
      <w:r>
        <w:t xml:space="preserve">system.</w:t>
      </w:r>
    </w:p>
    <w:p>
      <w:pPr>
        <w:pStyle w:val="BodyText"/>
      </w:pPr>
      <w:r>
        <w:t xml:space="preserve">Of the 185 cases we identify, 23 were managerial consolidations, another 162 were physical consolidations. Our data set consists of only 2 mandatory consolidations (Pratt MWC and Ceres West MHP) with the remainder being voluntary consolidations.</w:t>
      </w:r>
    </w:p>
    <w:p>
      <w:pPr>
        <w:pStyle w:val="BodyText"/>
      </w:pPr>
      <w:r>
        <w:t xml:space="preserve">Among the 180 water systems physical consolidated, the mean distance between these systems and the service boundary of the system to which they were connected was 0.904 miles, the median distance was 0.179. The minimum distance was 0 miles (ie already in the service boundaries) and the maximum was 17.85 miles.</w:t>
      </w:r>
    </w:p>
    <w:p>
      <w:pPr>
        <w:pStyle w:val="BodyText"/>
      </w:pPr>
      <w:r>
        <w:t xml:space="preserve">Only considering the 82 physically consolidated CWS the mean distance between these systems and the service boundary of the system to which they were connected was 1.061 miles, the median distance was 0.174</w:t>
      </w:r>
    </w:p>
    <w:bookmarkEnd w:id="20"/>
    <w:bookmarkStart w:id="21" w:name="drivers-of-consolidation"/>
    <w:p>
      <w:pPr>
        <w:pStyle w:val="Heading2"/>
      </w:pPr>
      <w:r>
        <w:t xml:space="preserve">Drivers of consolidation</w:t>
      </w:r>
    </w:p>
    <w:p>
      <w:pPr>
        <w:pStyle w:val="FirstParagraph"/>
      </w:pPr>
      <w:r>
        <w:t xml:space="preserve">The SWRCB has publicly available information on factors driving or incentivizing consolidation in 187 of the consolidated water systems in our dataset. Grouping this descriptive information into categories, we find that water quality concerns are by far the most common reason for consolidation (100 cases). Table 1 below provides frequencies for all five categories, none indicates that no driving factors or issues were listed.</w:t>
      </w:r>
      <w:r>
        <w:t xml:space="preserve"> </w:t>
      </w:r>
      <w:r>
        <w:t xml:space="preserve">“</w:t>
      </w:r>
      <w:r>
        <w:t xml:space="preserve">Sustainability</w:t>
      </w:r>
      <w:r>
        <w:t xml:space="preserve">”</w:t>
      </w:r>
      <w:r>
        <w:t xml:space="preserve"> </w:t>
      </w:r>
      <w:r>
        <w:t xml:space="preserve">in turn indicates that the reasons given were pro-active, e.g., reliance on a single source. Capacity indicates source capacity whereas TMF capacity indicates technical, managerial and financial capacity.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w:t>
            </w:r>
          </w:p>
        </w:tc>
      </w:tr>
      <w:tr>
        <w:tc>
          <w:tcPr/>
          <w:p>
            <w:pPr>
              <w:pStyle w:val="Compact"/>
              <w:jc w:val="left"/>
            </w:pPr>
            <w:r>
              <w:t xml:space="preserve">Capacity</w:t>
            </w:r>
          </w:p>
        </w:tc>
        <w:tc>
          <w:tcPr/>
          <w:p>
            <w:pPr>
              <w:pStyle w:val="Compact"/>
              <w:jc w:val="right"/>
            </w:pPr>
            <w:r>
              <w:t xml:space="preserve">5</w:t>
            </w:r>
          </w:p>
        </w:tc>
      </w:tr>
      <w:tr>
        <w:tc>
          <w:tcPr/>
          <w:p>
            <w:pPr>
              <w:pStyle w:val="Compact"/>
              <w:jc w:val="left"/>
            </w:pPr>
            <w:r>
              <w:t xml:space="preserve">Disaster</w:t>
            </w:r>
          </w:p>
        </w:tc>
        <w:tc>
          <w:tcPr/>
          <w:p>
            <w:pPr>
              <w:pStyle w:val="Compact"/>
              <w:jc w:val="right"/>
            </w:pPr>
            <w:r>
              <w:t xml:space="preserve">8</w:t>
            </w:r>
          </w:p>
        </w:tc>
      </w:tr>
      <w:tr>
        <w:tc>
          <w:tcPr/>
          <w:p>
            <w:pPr>
              <w:pStyle w:val="Compact"/>
              <w:jc w:val="left"/>
            </w:pPr>
            <w:r>
              <w:t xml:space="preserve">Multiple</w:t>
            </w:r>
          </w:p>
        </w:tc>
        <w:tc>
          <w:tcPr/>
          <w:p>
            <w:pPr>
              <w:pStyle w:val="Compact"/>
              <w:jc w:val="right"/>
            </w:pPr>
            <w:r>
              <w:t xml:space="preserve">13</w:t>
            </w:r>
          </w:p>
        </w:tc>
      </w:tr>
      <w:tr>
        <w:tc>
          <w:tcPr/>
          <w:p>
            <w:pPr>
              <w:pStyle w:val="Compact"/>
              <w:jc w:val="left"/>
            </w:pPr>
            <w:r>
              <w:t xml:space="preserve">None</w:t>
            </w:r>
          </w:p>
        </w:tc>
        <w:tc>
          <w:tcPr/>
          <w:p>
            <w:pPr>
              <w:pStyle w:val="Compact"/>
              <w:jc w:val="right"/>
            </w:pPr>
            <w:r>
              <w:t xml:space="preserve">51</w:t>
            </w:r>
          </w:p>
        </w:tc>
      </w:tr>
      <w:tr>
        <w:tc>
          <w:tcPr/>
          <w:p>
            <w:pPr>
              <w:pStyle w:val="Compact"/>
              <w:jc w:val="left"/>
            </w:pPr>
            <w:r>
              <w:t xml:space="preserve">Quality</w:t>
            </w:r>
          </w:p>
        </w:tc>
        <w:tc>
          <w:tcPr/>
          <w:p>
            <w:pPr>
              <w:pStyle w:val="Compact"/>
              <w:jc w:val="right"/>
            </w:pPr>
            <w:r>
              <w:t xml:space="preserve">100</w:t>
            </w:r>
          </w:p>
        </w:tc>
      </w:tr>
      <w:tr>
        <w:tc>
          <w:tcPr/>
          <w:p>
            <w:pPr>
              <w:pStyle w:val="Compact"/>
              <w:jc w:val="left"/>
            </w:pPr>
            <w:r>
              <w:t xml:space="preserve">Sustainability</w:t>
            </w:r>
          </w:p>
        </w:tc>
        <w:tc>
          <w:tcPr/>
          <w:p>
            <w:pPr>
              <w:pStyle w:val="Compact"/>
              <w:jc w:val="right"/>
            </w:pPr>
            <w:r>
              <w:t xml:space="preserve">3</w:t>
            </w:r>
          </w:p>
        </w:tc>
      </w:tr>
      <w:tr>
        <w:tc>
          <w:tcPr/>
          <w:p>
            <w:pPr>
              <w:pStyle w:val="Compact"/>
              <w:jc w:val="left"/>
            </w:pPr>
            <w:r>
              <w:t xml:space="preserve">TMF Capacity</w:t>
            </w:r>
          </w:p>
        </w:tc>
        <w:tc>
          <w:tcPr/>
          <w:p>
            <w:pPr>
              <w:pStyle w:val="Compact"/>
              <w:jc w:val="right"/>
            </w:pPr>
            <w:r>
              <w:t xml:space="preserve">7</w:t>
            </w:r>
          </w:p>
        </w:tc>
      </w:tr>
    </w:tbl>
    <w:bookmarkEnd w:id="21"/>
    <w:bookmarkStart w:id="22" w:name="Xa493d5679009519f707c6b3371d544b8b0a8382"/>
    <w:p>
      <w:pPr>
        <w:pStyle w:val="Heading2"/>
      </w:pPr>
      <w:r>
        <w:t xml:space="preserve">Characteristics of all consolidated systems</w:t>
      </w:r>
    </w:p>
    <w:p>
      <w:pPr>
        <w:pStyle w:val="FirstParagraph"/>
      </w:pPr>
      <w:r>
        <w:t xml:space="preserve">As preciously mentioned, 131511 Californians were served by a water system that was consolidated between January 2015 and December 2021. The mean population served by one of these systems is 638 with a minimum of 0 (as listed in SDWIS data) and maximum of 17503. The median population served, however, is 120 indicating that the vast majority of consolidated systems are very small.</w:t>
      </w:r>
    </w:p>
    <w:p>
      <w:pPr>
        <w:pStyle w:val="BodyText"/>
      </w:pPr>
      <w:r>
        <w:t xml:space="preserve">The 185 consolidation projects studied here resulted in the inactivation of approximately 203 Public Water Systems between 2015 and 2016. 108 of these systems were Community Water Systems (CWS). The remainder are a mix of NC and NTNC systems. Further we identify 1 consolidation of a state small water systems and 2 instances of consolidating domestic well communities.</w:t>
      </w:r>
    </w:p>
    <w:p>
      <w:pPr>
        <w:pStyle w:val="BodyText"/>
      </w:pPr>
      <w:r>
        <w:t xml:space="preserve">184 of these systems relied on groundwater as their primary source, another 22 relied on surface water.</w:t>
      </w:r>
    </w:p>
    <w:p>
      <w:pPr>
        <w:pStyle w:val="BodyText"/>
      </w:pPr>
      <w:r>
        <w:t xml:space="preserve">These systems, in turn, represent 17 different institutional/governing types (See Dobbin &amp; Fencl 2021). The most common type is Private (other) signifiying non IOU private systems that could not readily be identified as a mutual water company, homeowners association or mobile home park.The second most common types is Mobile Home Parks. See appendix.</w:t>
      </w:r>
    </w:p>
    <w:bookmarkEnd w:id="22"/>
    <w:bookmarkStart w:id="23" w:name="X9310891f93c5911d9344c627e9c6b5d896670fa"/>
    <w:p>
      <w:pPr>
        <w:pStyle w:val="Heading2"/>
      </w:pPr>
      <w:r>
        <w:t xml:space="preserve">Characteristics of consolidated Community Water Systems</w:t>
      </w:r>
    </w:p>
    <w:p>
      <w:pPr>
        <w:pStyle w:val="FirstParagraph"/>
      </w:pPr>
      <w:r>
        <w:t xml:space="preserve">Among just the consolidated systems that were CWSs, these statistics are as follows.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Count</w:t>
            </w:r>
          </w:p>
        </w:tc>
        <w:tc>
          <w:tcPr/>
          <w:p>
            <w:pPr>
              <w:pStyle w:val="Compact"/>
              <w:jc w:val="right"/>
            </w:pPr>
            <w:r>
              <w:t xml:space="preserve">Population_mean</w:t>
            </w:r>
          </w:p>
        </w:tc>
        <w:tc>
          <w:tcPr/>
          <w:p>
            <w:pPr>
              <w:pStyle w:val="Compact"/>
              <w:jc w:val="right"/>
            </w:pPr>
            <w:r>
              <w:t xml:space="preserve">Population_median</w:t>
            </w:r>
          </w:p>
        </w:tc>
        <w:tc>
          <w:tcPr/>
          <w:p>
            <w:pPr>
              <w:pStyle w:val="Compact"/>
              <w:jc w:val="right"/>
            </w:pPr>
            <w:r>
              <w:t xml:space="preserve">Population_min</w:t>
            </w:r>
          </w:p>
        </w:tc>
        <w:tc>
          <w:tcPr/>
          <w:p>
            <w:pPr>
              <w:pStyle w:val="Compact"/>
              <w:jc w:val="right"/>
            </w:pPr>
            <w:r>
              <w:t xml:space="preserve">Population_max</w:t>
            </w:r>
          </w:p>
        </w:tc>
      </w:tr>
      <w:tr>
        <w:tc>
          <w:tcPr/>
          <w:p>
            <w:pPr>
              <w:pStyle w:val="Compact"/>
              <w:jc w:val="right"/>
            </w:pPr>
            <w:r>
              <w:t xml:space="preserve">111</w:t>
            </w:r>
          </w:p>
        </w:tc>
        <w:tc>
          <w:tcPr/>
          <w:p>
            <w:pPr>
              <w:pStyle w:val="Compact"/>
              <w:jc w:val="right"/>
            </w:pPr>
            <w:r>
              <w:t xml:space="preserve">988.8829</w:t>
            </w:r>
          </w:p>
        </w:tc>
        <w:tc>
          <w:tcPr/>
          <w:p>
            <w:pPr>
              <w:pStyle w:val="Compact"/>
              <w:jc w:val="right"/>
            </w:pPr>
            <w:r>
              <w:t xml:space="preserve">150</w:t>
            </w:r>
          </w:p>
        </w:tc>
        <w:tc>
          <w:tcPr/>
          <w:p>
            <w:pPr>
              <w:pStyle w:val="Compact"/>
              <w:jc w:val="right"/>
            </w:pPr>
            <w:r>
              <w:t xml:space="preserve">0</w:t>
            </w:r>
          </w:p>
        </w:tc>
        <w:tc>
          <w:tcPr/>
          <w:p>
            <w:pPr>
              <w:pStyle w:val="Compact"/>
              <w:jc w:val="right"/>
            </w:pPr>
            <w:r>
              <w:t xml:space="preserve">17503</w:t>
            </w:r>
          </w:p>
        </w:tc>
      </w:tr>
    </w:tbl>
    <w:p>
      <w:pPr>
        <w:pStyle w:val="BodyText"/>
      </w:pPr>
      <w:r>
        <w:t xml:space="preserve">95 of the consolidated CWS relied on groundwater as their primary source, another 16 relied on surface water.</w:t>
      </w:r>
    </w:p>
    <w:p>
      <w:pPr>
        <w:pStyle w:val="BodyText"/>
      </w:pPr>
      <w:r>
        <w:t xml:space="preserve">These systems, in turn, represent 15 different institutional/governing types (See Dobbin &amp; Fencl 2021). The most common type is Mobile Home Parks followed by IOUs and</w:t>
      </w:r>
      <w:r>
        <w:t xml:space="preserve"> </w:t>
      </w:r>
      <w:r>
        <w:t xml:space="preserve">“</w:t>
      </w:r>
      <w:r>
        <w:t xml:space="preserve">Private (other)</w:t>
      </w:r>
      <w:r>
        <w:t xml:space="preserve">”</w:t>
      </w:r>
      <w:r>
        <w:t xml:space="preserve"> </w:t>
      </w:r>
      <w:r>
        <w:t xml:space="preserve">systems.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Institutional_Type</w:t>
            </w:r>
          </w:p>
        </w:tc>
        <w:tc>
          <w:tcPr/>
          <w:p>
            <w:pPr>
              <w:pStyle w:val="Compact"/>
              <w:jc w:val="right"/>
            </w:pPr>
            <w:r>
              <w:t xml:space="preserve">Freq</w:t>
            </w:r>
          </w:p>
        </w:tc>
      </w:tr>
      <w:tr>
        <w:tc>
          <w:tcPr/>
          <w:p>
            <w:pPr>
              <w:pStyle w:val="Compact"/>
              <w:jc w:val="left"/>
            </w:pPr>
            <w:r>
              <w:t xml:space="preserve">MHP</w:t>
            </w:r>
          </w:p>
        </w:tc>
        <w:tc>
          <w:tcPr/>
          <w:p>
            <w:pPr>
              <w:pStyle w:val="Compact"/>
              <w:jc w:val="right"/>
            </w:pPr>
            <w:r>
              <w:t xml:space="preserve">27</w:t>
            </w:r>
          </w:p>
        </w:tc>
      </w:tr>
      <w:tr>
        <w:tc>
          <w:tcPr/>
          <w:p>
            <w:pPr>
              <w:pStyle w:val="Compact"/>
              <w:jc w:val="left"/>
            </w:pPr>
            <w:r>
              <w:t xml:space="preserve">IOU</w:t>
            </w:r>
          </w:p>
        </w:tc>
        <w:tc>
          <w:tcPr/>
          <w:p>
            <w:pPr>
              <w:pStyle w:val="Compact"/>
              <w:jc w:val="right"/>
            </w:pPr>
            <w:r>
              <w:t xml:space="preserve">21</w:t>
            </w:r>
          </w:p>
        </w:tc>
      </w:tr>
      <w:tr>
        <w:tc>
          <w:tcPr/>
          <w:p>
            <w:pPr>
              <w:pStyle w:val="Compact"/>
              <w:jc w:val="left"/>
            </w:pPr>
            <w:r>
              <w:t xml:space="preserve">Private (other)</w:t>
            </w:r>
          </w:p>
        </w:tc>
        <w:tc>
          <w:tcPr/>
          <w:p>
            <w:pPr>
              <w:pStyle w:val="Compact"/>
              <w:jc w:val="right"/>
            </w:pPr>
            <w:r>
              <w:t xml:space="preserve">21</w:t>
            </w:r>
          </w:p>
        </w:tc>
      </w:tr>
      <w:tr>
        <w:tc>
          <w:tcPr/>
          <w:p>
            <w:pPr>
              <w:pStyle w:val="Compact"/>
              <w:jc w:val="left"/>
            </w:pPr>
            <w:r>
              <w:t xml:space="preserve">MWC</w:t>
            </w:r>
          </w:p>
        </w:tc>
        <w:tc>
          <w:tcPr/>
          <w:p>
            <w:pPr>
              <w:pStyle w:val="Compact"/>
              <w:jc w:val="right"/>
            </w:pPr>
            <w:r>
              <w:t xml:space="preserve">14</w:t>
            </w:r>
          </w:p>
        </w:tc>
      </w:tr>
      <w:tr>
        <w:tc>
          <w:tcPr/>
          <w:p>
            <w:pPr>
              <w:pStyle w:val="Compact"/>
              <w:jc w:val="left"/>
            </w:pPr>
            <w:r>
              <w:t xml:space="preserve">CSA</w:t>
            </w:r>
          </w:p>
        </w:tc>
        <w:tc>
          <w:tcPr/>
          <w:p>
            <w:pPr>
              <w:pStyle w:val="Compact"/>
              <w:jc w:val="right"/>
            </w:pPr>
            <w:r>
              <w:t xml:space="preserve">7</w:t>
            </w:r>
          </w:p>
        </w:tc>
      </w:tr>
      <w:tr>
        <w:tc>
          <w:tcPr/>
          <w:p>
            <w:pPr>
              <w:pStyle w:val="Compact"/>
              <w:jc w:val="left"/>
            </w:pPr>
            <w:r>
              <w:t xml:space="preserve">CSD</w:t>
            </w:r>
          </w:p>
        </w:tc>
        <w:tc>
          <w:tcPr/>
          <w:p>
            <w:pPr>
              <w:pStyle w:val="Compact"/>
              <w:jc w:val="right"/>
            </w:pPr>
            <w:r>
              <w:t xml:space="preserve">4</w:t>
            </w:r>
          </w:p>
        </w:tc>
      </w:tr>
      <w:tr>
        <w:tc>
          <w:tcPr/>
          <w:p>
            <w:pPr>
              <w:pStyle w:val="Compact"/>
              <w:jc w:val="left"/>
            </w:pPr>
            <w:r>
              <w:t xml:space="preserve">County Water District</w:t>
            </w:r>
          </w:p>
        </w:tc>
        <w:tc>
          <w:tcPr/>
          <w:p>
            <w:pPr>
              <w:pStyle w:val="Compact"/>
              <w:jc w:val="right"/>
            </w:pPr>
            <w:r>
              <w:t xml:space="preserve">3</w:t>
            </w:r>
          </w:p>
        </w:tc>
      </w:tr>
      <w:tr>
        <w:tc>
          <w:tcPr/>
          <w:p>
            <w:pPr>
              <w:pStyle w:val="Compact"/>
              <w:jc w:val="left"/>
            </w:pPr>
            <w:r>
              <w:t xml:space="preserve">City</w:t>
            </w:r>
          </w:p>
        </w:tc>
        <w:tc>
          <w:tcPr/>
          <w:p>
            <w:pPr>
              <w:pStyle w:val="Compact"/>
              <w:jc w:val="right"/>
            </w:pPr>
            <w:r>
              <w:t xml:space="preserve">2</w:t>
            </w:r>
          </w:p>
        </w:tc>
      </w:tr>
      <w:tr>
        <w:tc>
          <w:tcPr/>
          <w:p>
            <w:pPr>
              <w:pStyle w:val="Compact"/>
              <w:jc w:val="left"/>
            </w:pPr>
            <w:r>
              <w:t xml:space="preserve">Domestic wells</w:t>
            </w:r>
          </w:p>
        </w:tc>
        <w:tc>
          <w:tcPr/>
          <w:p>
            <w:pPr>
              <w:pStyle w:val="Compact"/>
              <w:jc w:val="right"/>
            </w:pPr>
            <w:r>
              <w:t xml:space="preserve">2</w:t>
            </w:r>
          </w:p>
        </w:tc>
      </w:tr>
      <w:tr>
        <w:tc>
          <w:tcPr/>
          <w:p>
            <w:pPr>
              <w:pStyle w:val="Compact"/>
              <w:jc w:val="left"/>
            </w:pPr>
            <w:r>
              <w:t xml:space="preserve">Federal</w:t>
            </w:r>
          </w:p>
        </w:tc>
        <w:tc>
          <w:tcPr/>
          <w:p>
            <w:pPr>
              <w:pStyle w:val="Compact"/>
              <w:jc w:val="right"/>
            </w:pPr>
            <w:r>
              <w:t xml:space="preserve">2</w:t>
            </w:r>
          </w:p>
        </w:tc>
      </w:tr>
      <w:tr>
        <w:tc>
          <w:tcPr/>
          <w:p>
            <w:pPr>
              <w:pStyle w:val="Compact"/>
              <w:jc w:val="left"/>
            </w:pPr>
            <w:r>
              <w:t xml:space="preserve">MWD</w:t>
            </w:r>
          </w:p>
        </w:tc>
        <w:tc>
          <w:tcPr/>
          <w:p>
            <w:pPr>
              <w:pStyle w:val="Compact"/>
              <w:jc w:val="right"/>
            </w:pPr>
            <w:r>
              <w:t xml:space="preserve">2</w:t>
            </w:r>
          </w:p>
        </w:tc>
      </w:tr>
      <w:tr>
        <w:tc>
          <w:tcPr/>
          <w:p>
            <w:pPr>
              <w:pStyle w:val="Compact"/>
              <w:jc w:val="left"/>
            </w:pPr>
            <w:r>
              <w:t xml:space="preserve">State</w:t>
            </w:r>
          </w:p>
        </w:tc>
        <w:tc>
          <w:tcPr/>
          <w:p>
            <w:pPr>
              <w:pStyle w:val="Compact"/>
              <w:jc w:val="right"/>
            </w:pPr>
            <w:r>
              <w:t xml:space="preserve">2</w:t>
            </w:r>
          </w:p>
        </w:tc>
      </w:tr>
      <w:tr>
        <w:tc>
          <w:tcPr/>
          <w:p>
            <w:pPr>
              <w:pStyle w:val="Compact"/>
              <w:jc w:val="left"/>
            </w:pPr>
            <w:r>
              <w:t xml:space="preserve">Water District</w:t>
            </w:r>
          </w:p>
        </w:tc>
        <w:tc>
          <w:tcPr/>
          <w:p>
            <w:pPr>
              <w:pStyle w:val="Compact"/>
              <w:jc w:val="right"/>
            </w:pPr>
            <w:r>
              <w:t xml:space="preserve">2</w:t>
            </w:r>
          </w:p>
        </w:tc>
      </w:tr>
      <w:tr>
        <w:tc>
          <w:tcPr/>
          <w:p>
            <w:pPr>
              <w:pStyle w:val="Compact"/>
              <w:jc w:val="left"/>
            </w:pPr>
            <w:r>
              <w:t xml:space="preserve">ID</w:t>
            </w:r>
          </w:p>
        </w:tc>
        <w:tc>
          <w:tcPr/>
          <w:p>
            <w:pPr>
              <w:pStyle w:val="Compact"/>
              <w:jc w:val="right"/>
            </w:pPr>
            <w:r>
              <w:t xml:space="preserve">1</w:t>
            </w:r>
          </w:p>
        </w:tc>
      </w:tr>
      <w:tr>
        <w:tc>
          <w:tcPr/>
          <w:p>
            <w:pPr>
              <w:pStyle w:val="Compact"/>
              <w:jc w:val="left"/>
            </w:pPr>
            <w:r>
              <w:t xml:space="preserve">School</w:t>
            </w:r>
          </w:p>
        </w:tc>
        <w:tc>
          <w:tcPr/>
          <w:p>
            <w:pPr>
              <w:pStyle w:val="Compact"/>
              <w:jc w:val="right"/>
            </w:pPr>
            <w:r>
              <w:t xml:space="preserve">1</w:t>
            </w:r>
          </w:p>
        </w:tc>
      </w:tr>
    </w:tbl>
    <w:bookmarkEnd w:id="23"/>
    <w:bookmarkStart w:id="24" w:name="X4b57d92d13565c0469611839881a091c44b1e25"/>
    <w:p>
      <w:pPr>
        <w:pStyle w:val="Heading2"/>
      </w:pPr>
      <w:r>
        <w:t xml:space="preserve">Characteristics of receiving water systems</w:t>
      </w:r>
    </w:p>
    <w:p>
      <w:pPr>
        <w:pStyle w:val="FirstParagraph"/>
      </w:pPr>
      <w:r>
        <w:t xml:space="preserve">Among the 143 unique receiving water systems, 87 rely on groundwater as their primary source, another 55 rely on surface water. 133 of these systems are community water systems.</w:t>
      </w:r>
    </w:p>
    <w:p>
      <w:pPr>
        <w:pStyle w:val="BodyText"/>
      </w:pPr>
      <w:r>
        <w:t xml:space="preserve">20 of these systems participated in more than one consolidation project over the study period. 2 systems participated in 6 consolidation projects each over the course of the 6 years. Another system, South Tahoe PUD, participated in 9.</w:t>
      </w:r>
    </w:p>
    <w:bookmarkEnd w:id="24"/>
    <w:bookmarkStart w:id="25" w:name="X109ff7b151ae5be162faee1381acc21c6257080"/>
    <w:p>
      <w:pPr>
        <w:pStyle w:val="Heading2"/>
      </w:pPr>
      <w:r>
        <w:t xml:space="preserve">Characteristics of only systems</w:t>
      </w:r>
      <w:r>
        <w:t xml:space="preserve"> </w:t>
      </w:r>
      <w:r>
        <w:t xml:space="preserve">“</w:t>
      </w:r>
      <w:r>
        <w:t xml:space="preserve">receiving</w:t>
      </w:r>
      <w:r>
        <w:t xml:space="preserve">”</w:t>
      </w:r>
      <w:r>
        <w:t xml:space="preserve"> </w:t>
      </w:r>
      <w:r>
        <w:t xml:space="preserve">CWSs in consolidations</w:t>
      </w:r>
    </w:p>
    <w:p>
      <w:pPr>
        <w:pStyle w:val="FirstParagraph"/>
      </w:pPr>
      <w:r>
        <w:t xml:space="preserve">Among the systems that were receiving systems in the above cases of CWS consolidation, we find similar diversity in institutional types, IOUs are the most common receiving system type and City’s the second most common. Overall, 14 different institutional types acted as receiving systems over the studied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Institutional_Type</w:t>
            </w:r>
          </w:p>
        </w:tc>
        <w:tc>
          <w:tcPr/>
          <w:p>
            <w:pPr>
              <w:pStyle w:val="Compact"/>
              <w:jc w:val="right"/>
            </w:pPr>
            <w:r>
              <w:t xml:space="preserve">Freq</w:t>
            </w:r>
          </w:p>
        </w:tc>
      </w:tr>
      <w:tr>
        <w:tc>
          <w:tcPr/>
          <w:p>
            <w:pPr>
              <w:pStyle w:val="Compact"/>
              <w:jc w:val="left"/>
            </w:pPr>
            <w:r>
              <w:t xml:space="preserve">IOU</w:t>
            </w:r>
          </w:p>
        </w:tc>
        <w:tc>
          <w:tcPr/>
          <w:p>
            <w:pPr>
              <w:pStyle w:val="Compact"/>
              <w:jc w:val="right"/>
            </w:pPr>
            <w:r>
              <w:t xml:space="preserve">34</w:t>
            </w:r>
          </w:p>
        </w:tc>
      </w:tr>
      <w:tr>
        <w:tc>
          <w:tcPr/>
          <w:p>
            <w:pPr>
              <w:pStyle w:val="Compact"/>
              <w:jc w:val="left"/>
            </w:pPr>
            <w:r>
              <w:t xml:space="preserve">City</w:t>
            </w:r>
          </w:p>
        </w:tc>
        <w:tc>
          <w:tcPr/>
          <w:p>
            <w:pPr>
              <w:pStyle w:val="Compact"/>
              <w:jc w:val="right"/>
            </w:pPr>
            <w:r>
              <w:t xml:space="preserve">29</w:t>
            </w:r>
          </w:p>
        </w:tc>
      </w:tr>
      <w:tr>
        <w:tc>
          <w:tcPr/>
          <w:p>
            <w:pPr>
              <w:pStyle w:val="Compact"/>
              <w:jc w:val="left"/>
            </w:pPr>
            <w:r>
              <w:t xml:space="preserve">County Water District</w:t>
            </w:r>
          </w:p>
        </w:tc>
        <w:tc>
          <w:tcPr/>
          <w:p>
            <w:pPr>
              <w:pStyle w:val="Compact"/>
              <w:jc w:val="right"/>
            </w:pPr>
            <w:r>
              <w:t xml:space="preserve">14</w:t>
            </w:r>
          </w:p>
        </w:tc>
      </w:tr>
      <w:tr>
        <w:tc>
          <w:tcPr/>
          <w:p>
            <w:pPr>
              <w:pStyle w:val="Compact"/>
              <w:jc w:val="left"/>
            </w:pPr>
            <w:r>
              <w:t xml:space="preserve">CSD</w:t>
            </w:r>
          </w:p>
        </w:tc>
        <w:tc>
          <w:tcPr/>
          <w:p>
            <w:pPr>
              <w:pStyle w:val="Compact"/>
              <w:jc w:val="right"/>
            </w:pPr>
            <w:r>
              <w:t xml:space="preserve">10</w:t>
            </w:r>
          </w:p>
        </w:tc>
      </w:tr>
      <w:tr>
        <w:tc>
          <w:tcPr/>
          <w:p>
            <w:pPr>
              <w:pStyle w:val="Compact"/>
              <w:jc w:val="left"/>
            </w:pPr>
            <w:r>
              <w:t xml:space="preserve">PUD</w:t>
            </w:r>
          </w:p>
        </w:tc>
        <w:tc>
          <w:tcPr/>
          <w:p>
            <w:pPr>
              <w:pStyle w:val="Compact"/>
              <w:jc w:val="right"/>
            </w:pPr>
            <w:r>
              <w:t xml:space="preserve">7</w:t>
            </w:r>
          </w:p>
        </w:tc>
      </w:tr>
      <w:tr>
        <w:tc>
          <w:tcPr/>
          <w:p>
            <w:pPr>
              <w:pStyle w:val="Compact"/>
              <w:jc w:val="left"/>
            </w:pPr>
            <w:r>
              <w:t xml:space="preserve">Special Act District</w:t>
            </w:r>
          </w:p>
        </w:tc>
        <w:tc>
          <w:tcPr/>
          <w:p>
            <w:pPr>
              <w:pStyle w:val="Compact"/>
              <w:jc w:val="right"/>
            </w:pPr>
            <w:r>
              <w:t xml:space="preserve">4</w:t>
            </w:r>
          </w:p>
        </w:tc>
      </w:tr>
      <w:tr>
        <w:tc>
          <w:tcPr/>
          <w:p>
            <w:pPr>
              <w:pStyle w:val="Compact"/>
              <w:jc w:val="left"/>
            </w:pPr>
            <w:r>
              <w:t xml:space="preserve">Water District</w:t>
            </w:r>
          </w:p>
        </w:tc>
        <w:tc>
          <w:tcPr/>
          <w:p>
            <w:pPr>
              <w:pStyle w:val="Compact"/>
              <w:jc w:val="right"/>
            </w:pPr>
            <w:r>
              <w:t xml:space="preserve">3</w:t>
            </w:r>
          </w:p>
        </w:tc>
      </w:tr>
      <w:tr>
        <w:tc>
          <w:tcPr/>
          <w:p>
            <w:pPr>
              <w:pStyle w:val="Compact"/>
              <w:jc w:val="left"/>
            </w:pPr>
            <w:r>
              <w:t xml:space="preserve">Irrigation District</w:t>
            </w:r>
          </w:p>
        </w:tc>
        <w:tc>
          <w:tcPr/>
          <w:p>
            <w:pPr>
              <w:pStyle w:val="Compact"/>
              <w:jc w:val="right"/>
            </w:pPr>
            <w:r>
              <w:t xml:space="preserve">2</w:t>
            </w:r>
          </w:p>
        </w:tc>
      </w:tr>
      <w:tr>
        <w:tc>
          <w:tcPr/>
          <w:p>
            <w:pPr>
              <w:pStyle w:val="Compact"/>
              <w:jc w:val="left"/>
            </w:pPr>
            <w:r>
              <w:t xml:space="preserve">MWC</w:t>
            </w:r>
          </w:p>
        </w:tc>
        <w:tc>
          <w:tcPr/>
          <w:p>
            <w:pPr>
              <w:pStyle w:val="Compact"/>
              <w:jc w:val="right"/>
            </w:pPr>
            <w:r>
              <w:t xml:space="preserve">2</w:t>
            </w:r>
          </w:p>
        </w:tc>
      </w:tr>
      <w:tr>
        <w:tc>
          <w:tcPr/>
          <w:p>
            <w:pPr>
              <w:pStyle w:val="Compact"/>
              <w:jc w:val="left"/>
            </w:pPr>
            <w:r>
              <w:t xml:space="preserve">MWD</w:t>
            </w:r>
          </w:p>
        </w:tc>
        <w:tc>
          <w:tcPr/>
          <w:p>
            <w:pPr>
              <w:pStyle w:val="Compact"/>
              <w:jc w:val="right"/>
            </w:pPr>
            <w:r>
              <w:t xml:space="preserve">2</w:t>
            </w:r>
          </w:p>
        </w:tc>
      </w:tr>
      <w:tr>
        <w:tc>
          <w:tcPr/>
          <w:p>
            <w:pPr>
              <w:pStyle w:val="Compact"/>
              <w:jc w:val="left"/>
            </w:pPr>
            <w:r>
              <w:t xml:space="preserve">CSA</w:t>
            </w:r>
          </w:p>
        </w:tc>
        <w:tc>
          <w:tcPr/>
          <w:p>
            <w:pPr>
              <w:pStyle w:val="Compact"/>
              <w:jc w:val="right"/>
            </w:pPr>
            <w:r>
              <w:t xml:space="preserve">1</w:t>
            </w:r>
          </w:p>
        </w:tc>
      </w:tr>
      <w:tr>
        <w:tc>
          <w:tcPr/>
          <w:p>
            <w:pPr>
              <w:pStyle w:val="Compact"/>
              <w:jc w:val="left"/>
            </w:pPr>
            <w:r>
              <w:t xml:space="preserve">Private (other)</w:t>
            </w:r>
          </w:p>
        </w:tc>
        <w:tc>
          <w:tcPr/>
          <w:p>
            <w:pPr>
              <w:pStyle w:val="Compact"/>
              <w:jc w:val="right"/>
            </w:pPr>
            <w:r>
              <w:t xml:space="preserve">1</w:t>
            </w:r>
          </w:p>
        </w:tc>
      </w:tr>
      <w:tr>
        <w:tc>
          <w:tcPr/>
          <w:p>
            <w:pPr>
              <w:pStyle w:val="Compact"/>
              <w:jc w:val="left"/>
            </w:pPr>
            <w:r>
              <w:t xml:space="preserve">School</w:t>
            </w:r>
          </w:p>
        </w:tc>
        <w:tc>
          <w:tcPr/>
          <w:p>
            <w:pPr>
              <w:pStyle w:val="Compact"/>
              <w:jc w:val="right"/>
            </w:pPr>
            <w:r>
              <w:t xml:space="preserve">1</w:t>
            </w:r>
          </w:p>
        </w:tc>
      </w:tr>
      <w:tr>
        <w:tc>
          <w:tcPr/>
          <w:p>
            <w:pPr>
              <w:pStyle w:val="Compact"/>
              <w:jc w:val="left"/>
            </w:pPr>
            <w:r>
              <w:t xml:space="preserve">State</w:t>
            </w:r>
          </w:p>
        </w:tc>
        <w:tc>
          <w:tcPr/>
          <w:p>
            <w:pPr>
              <w:pStyle w:val="Compact"/>
              <w:jc w:val="right"/>
            </w:pPr>
            <w:r>
              <w:t xml:space="preserve">1</w:t>
            </w:r>
          </w:p>
        </w:tc>
      </w:tr>
    </w:tbl>
    <w:bookmarkEnd w:id="25"/>
    <w:bookmarkStart w:id="26" w:name="X96c3746b2c20af1b96591ab813e0b6c7faa8c8a"/>
    <w:p>
      <w:pPr>
        <w:pStyle w:val="Heading2"/>
      </w:pPr>
      <w:r>
        <w:t xml:space="preserve">Governance change as a result of CWS consolidations</w:t>
      </w:r>
    </w:p>
    <w:p>
      <w:pPr>
        <w:pStyle w:val="FirstParagraph"/>
      </w:pPr>
      <w:r>
        <w:t xml:space="preserve">Using this information about consolidated and receiving system types, then, we are able to identify how CWS governance is changing in the state as a result of consolidations. In total, CWS consolidations represent 45 distinct governance changes, the five most common of which are displayed in the table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Change from, to</w:t>
            </w:r>
          </w:p>
        </w:tc>
        <w:tc>
          <w:tcPr/>
          <w:p>
            <w:pPr>
              <w:pStyle w:val="Compact"/>
              <w:jc w:val="right"/>
            </w:pPr>
            <w:r>
              <w:t xml:space="preserve">#</w:t>
            </w:r>
          </w:p>
        </w:tc>
      </w:tr>
      <w:tr>
        <w:tc>
          <w:tcPr/>
          <w:p>
            <w:pPr>
              <w:pStyle w:val="Compact"/>
              <w:jc w:val="left"/>
            </w:pPr>
            <w:r>
              <w:t xml:space="preserve">IOU , IOU</w:t>
            </w:r>
          </w:p>
        </w:tc>
        <w:tc>
          <w:tcPr/>
          <w:p>
            <w:pPr>
              <w:pStyle w:val="Compact"/>
              <w:jc w:val="right"/>
            </w:pPr>
            <w:r>
              <w:t xml:space="preserve">18</w:t>
            </w:r>
          </w:p>
        </w:tc>
      </w:tr>
      <w:tr>
        <w:tc>
          <w:tcPr/>
          <w:p>
            <w:pPr>
              <w:pStyle w:val="Compact"/>
              <w:jc w:val="left"/>
            </w:pPr>
            <w:r>
              <w:t xml:space="preserve">MHP , City</w:t>
            </w:r>
          </w:p>
        </w:tc>
        <w:tc>
          <w:tcPr/>
          <w:p>
            <w:pPr>
              <w:pStyle w:val="Compact"/>
              <w:jc w:val="right"/>
            </w:pPr>
            <w:r>
              <w:t xml:space="preserve">11</w:t>
            </w:r>
          </w:p>
        </w:tc>
      </w:tr>
      <w:tr>
        <w:tc>
          <w:tcPr/>
          <w:p>
            <w:pPr>
              <w:pStyle w:val="Compact"/>
              <w:jc w:val="left"/>
            </w:pPr>
            <w:r>
              <w:t xml:space="preserve">Private (other) , City</w:t>
            </w:r>
          </w:p>
        </w:tc>
        <w:tc>
          <w:tcPr/>
          <w:p>
            <w:pPr>
              <w:pStyle w:val="Compact"/>
              <w:jc w:val="right"/>
            </w:pPr>
            <w:r>
              <w:t xml:space="preserve">8</w:t>
            </w:r>
          </w:p>
        </w:tc>
      </w:tr>
      <w:tr>
        <w:tc>
          <w:tcPr/>
          <w:p>
            <w:pPr>
              <w:pStyle w:val="Compact"/>
              <w:jc w:val="left"/>
            </w:pPr>
            <w:r>
              <w:t xml:space="preserve">MHP , CSD</w:t>
            </w:r>
          </w:p>
        </w:tc>
        <w:tc>
          <w:tcPr/>
          <w:p>
            <w:pPr>
              <w:pStyle w:val="Compact"/>
              <w:jc w:val="right"/>
            </w:pPr>
            <w:r>
              <w:t xml:space="preserve">6</w:t>
            </w:r>
          </w:p>
        </w:tc>
      </w:tr>
      <w:tr>
        <w:tc>
          <w:tcPr/>
          <w:p>
            <w:pPr>
              <w:pStyle w:val="Compact"/>
              <w:jc w:val="left"/>
            </w:pPr>
            <w:r>
              <w:t xml:space="preserve">MWC , City</w:t>
            </w:r>
          </w:p>
        </w:tc>
        <w:tc>
          <w:tcPr/>
          <w:p>
            <w:pPr>
              <w:pStyle w:val="Compact"/>
              <w:jc w:val="right"/>
            </w:pPr>
            <w:r>
              <w:t xml:space="preserve">5</w:t>
            </w:r>
          </w:p>
        </w:tc>
      </w:tr>
    </w:tbl>
    <w:bookmarkEnd w:id="26"/>
    <w:bookmarkStart w:id="27" w:name="Xfa7b685874d776060a5ef45525db9766ad58811"/>
    <w:p>
      <w:pPr>
        <w:pStyle w:val="Heading2"/>
      </w:pPr>
      <w:r>
        <w:t xml:space="preserve">Demographic comparison between consolidated CWS and receiving systems</w:t>
      </w:r>
    </w:p>
    <w:p>
      <w:pPr>
        <w:pStyle w:val="FirstParagraph"/>
      </w:pPr>
      <w:r>
        <w:t xml:space="preserve">The demographic make up of community water systems (inclusive of private well and SSWS) consolidated during the study period are described below based on the census block group of the system area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max</w:t>
            </w:r>
          </w:p>
        </w:tc>
        <w:tc>
          <w:tcPr/>
          <w:p>
            <w:pPr>
              <w:pStyle w:val="Compact"/>
              <w:jc w:val="right"/>
            </w:pPr>
            <w:r>
              <w:t xml:space="preserve">sd</w:t>
            </w:r>
          </w:p>
        </w:tc>
      </w:tr>
      <w:tr>
        <w:tc>
          <w:tcPr/>
          <w:p>
            <w:pPr>
              <w:pStyle w:val="Compact"/>
              <w:jc w:val="left"/>
            </w:pPr>
            <w:r>
              <w:t xml:space="preserve">MHI.consolidated</w:t>
            </w:r>
          </w:p>
        </w:tc>
        <w:tc>
          <w:tcPr/>
          <w:p>
            <w:pPr>
              <w:pStyle w:val="Compact"/>
              <w:jc w:val="right"/>
            </w:pPr>
            <w:r>
              <w:t xml:space="preserve">13974.00</w:t>
            </w:r>
          </w:p>
        </w:tc>
        <w:tc>
          <w:tcPr/>
          <w:p>
            <w:pPr>
              <w:pStyle w:val="Compact"/>
              <w:jc w:val="right"/>
            </w:pPr>
            <w:r>
              <w:t xml:space="preserve">62010.58</w:t>
            </w:r>
          </w:p>
        </w:tc>
        <w:tc>
          <w:tcPr/>
          <w:p>
            <w:pPr>
              <w:pStyle w:val="Compact"/>
              <w:jc w:val="right"/>
            </w:pPr>
            <w:r>
              <w:t xml:space="preserve">54667.00</w:t>
            </w:r>
          </w:p>
        </w:tc>
        <w:tc>
          <w:tcPr/>
          <w:p>
            <w:pPr>
              <w:pStyle w:val="Compact"/>
              <w:jc w:val="right"/>
            </w:pPr>
            <w:r>
              <w:t xml:space="preserve">250001.00</w:t>
            </w:r>
          </w:p>
        </w:tc>
        <w:tc>
          <w:tcPr/>
          <w:p>
            <w:pPr>
              <w:pStyle w:val="Compact"/>
              <w:jc w:val="right"/>
            </w:pPr>
            <w:r>
              <w:t xml:space="preserve">36695.05</w:t>
            </w:r>
          </w:p>
        </w:tc>
      </w:tr>
      <w:tr>
        <w:tc>
          <w:tcPr/>
          <w:p>
            <w:pPr>
              <w:pStyle w:val="Compact"/>
              <w:jc w:val="left"/>
            </w:pPr>
            <w:r>
              <w:t xml:space="preserve">Percent.asian.consolidated</w:t>
            </w:r>
          </w:p>
        </w:tc>
        <w:tc>
          <w:tcPr/>
          <w:p>
            <w:pPr>
              <w:pStyle w:val="Compact"/>
              <w:jc w:val="right"/>
            </w:pPr>
            <w:r>
              <w:t xml:space="preserve">0.00</w:t>
            </w:r>
          </w:p>
        </w:tc>
        <w:tc>
          <w:tcPr/>
          <w:p>
            <w:pPr>
              <w:pStyle w:val="Compact"/>
              <w:jc w:val="right"/>
            </w:pPr>
            <w:r>
              <w:t xml:space="preserve">6.71</w:t>
            </w:r>
          </w:p>
        </w:tc>
        <w:tc>
          <w:tcPr/>
          <w:p>
            <w:pPr>
              <w:pStyle w:val="Compact"/>
              <w:jc w:val="right"/>
            </w:pPr>
            <w:r>
              <w:t xml:space="preserve">1.07</w:t>
            </w:r>
          </w:p>
        </w:tc>
        <w:tc>
          <w:tcPr/>
          <w:p>
            <w:pPr>
              <w:pStyle w:val="Compact"/>
              <w:jc w:val="right"/>
            </w:pPr>
            <w:r>
              <w:t xml:space="preserve">79.94</w:t>
            </w:r>
          </w:p>
        </w:tc>
        <w:tc>
          <w:tcPr/>
          <w:p>
            <w:pPr>
              <w:pStyle w:val="Compact"/>
              <w:jc w:val="right"/>
            </w:pPr>
            <w:r>
              <w:t xml:space="preserve">14.68</w:t>
            </w:r>
          </w:p>
        </w:tc>
      </w:tr>
      <w:tr>
        <w:tc>
          <w:tcPr/>
          <w:p>
            <w:pPr>
              <w:pStyle w:val="Compact"/>
              <w:jc w:val="left"/>
            </w:pPr>
            <w:r>
              <w:t xml:space="preserve">Percent.black.consolidated</w:t>
            </w:r>
          </w:p>
        </w:tc>
        <w:tc>
          <w:tcPr/>
          <w:p>
            <w:pPr>
              <w:pStyle w:val="Compact"/>
              <w:jc w:val="right"/>
            </w:pPr>
            <w:r>
              <w:t xml:space="preserve">0.00</w:t>
            </w:r>
          </w:p>
        </w:tc>
        <w:tc>
          <w:tcPr/>
          <w:p>
            <w:pPr>
              <w:pStyle w:val="Compact"/>
              <w:jc w:val="right"/>
            </w:pPr>
            <w:r>
              <w:t xml:space="preserve">2.20</w:t>
            </w:r>
          </w:p>
        </w:tc>
        <w:tc>
          <w:tcPr/>
          <w:p>
            <w:pPr>
              <w:pStyle w:val="Compact"/>
              <w:jc w:val="right"/>
            </w:pPr>
            <w:r>
              <w:t xml:space="preserve">0.05</w:t>
            </w:r>
          </w:p>
        </w:tc>
        <w:tc>
          <w:tcPr/>
          <w:p>
            <w:pPr>
              <w:pStyle w:val="Compact"/>
              <w:jc w:val="right"/>
            </w:pPr>
            <w:r>
              <w:t xml:space="preserve">30.83</w:t>
            </w:r>
          </w:p>
        </w:tc>
        <w:tc>
          <w:tcPr/>
          <w:p>
            <w:pPr>
              <w:pStyle w:val="Compact"/>
              <w:jc w:val="right"/>
            </w:pPr>
            <w:r>
              <w:t xml:space="preserve">4.99</w:t>
            </w:r>
          </w:p>
        </w:tc>
      </w:tr>
      <w:tr>
        <w:tc>
          <w:tcPr/>
          <w:p>
            <w:pPr>
              <w:pStyle w:val="Compact"/>
              <w:jc w:val="left"/>
            </w:pPr>
            <w:r>
              <w:t xml:space="preserve">Percent.hispanicorlatino.consolidated</w:t>
            </w:r>
          </w:p>
        </w:tc>
        <w:tc>
          <w:tcPr/>
          <w:p>
            <w:pPr>
              <w:pStyle w:val="Compact"/>
              <w:jc w:val="right"/>
            </w:pPr>
            <w:r>
              <w:t xml:space="preserve">0.00</w:t>
            </w:r>
          </w:p>
        </w:tc>
        <w:tc>
          <w:tcPr/>
          <w:p>
            <w:pPr>
              <w:pStyle w:val="Compact"/>
              <w:jc w:val="right"/>
            </w:pPr>
            <w:r>
              <w:t xml:space="preserve">33.64</w:t>
            </w:r>
          </w:p>
        </w:tc>
        <w:tc>
          <w:tcPr/>
          <w:p>
            <w:pPr>
              <w:pStyle w:val="Compact"/>
              <w:jc w:val="right"/>
            </w:pPr>
            <w:r>
              <w:t xml:space="preserve">24.63</w:t>
            </w:r>
          </w:p>
        </w:tc>
        <w:tc>
          <w:tcPr/>
          <w:p>
            <w:pPr>
              <w:pStyle w:val="Compact"/>
              <w:jc w:val="right"/>
            </w:pPr>
            <w:r>
              <w:t xml:space="preserve">99.28</w:t>
            </w:r>
          </w:p>
        </w:tc>
        <w:tc>
          <w:tcPr/>
          <w:p>
            <w:pPr>
              <w:pStyle w:val="Compact"/>
              <w:jc w:val="right"/>
            </w:pPr>
            <w:r>
              <w:t xml:space="preserve">28.64</w:t>
            </w:r>
          </w:p>
        </w:tc>
      </w:tr>
      <w:tr>
        <w:tc>
          <w:tcPr/>
          <w:p>
            <w:pPr>
              <w:pStyle w:val="Compact"/>
              <w:jc w:val="left"/>
            </w:pPr>
            <w:r>
              <w:t xml:space="preserve">Percent.native.consolidated</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7.29</w:t>
            </w:r>
          </w:p>
        </w:tc>
        <w:tc>
          <w:tcPr/>
          <w:p>
            <w:pPr>
              <w:pStyle w:val="Compact"/>
              <w:jc w:val="right"/>
            </w:pPr>
            <w:r>
              <w:t xml:space="preserve">1.39</w:t>
            </w:r>
          </w:p>
        </w:tc>
      </w:tr>
      <w:tr>
        <w:tc>
          <w:tcPr/>
          <w:p>
            <w:pPr>
              <w:pStyle w:val="Compact"/>
              <w:jc w:val="left"/>
            </w:pPr>
            <w:r>
              <w:t xml:space="preserve">Percent.PI.consolidated</w:t>
            </w:r>
          </w:p>
        </w:tc>
        <w:tc>
          <w:tcPr/>
          <w:p>
            <w:pPr>
              <w:pStyle w:val="Compact"/>
              <w:jc w:val="right"/>
            </w:pPr>
            <w:r>
              <w:t xml:space="preserve">0.00</w:t>
            </w:r>
          </w:p>
        </w:tc>
        <w:tc>
          <w:tcPr/>
          <w:p>
            <w:pPr>
              <w:pStyle w:val="Compact"/>
              <w:jc w:val="right"/>
            </w:pPr>
            <w:r>
              <w:t xml:space="preserve">0.22</w:t>
            </w:r>
          </w:p>
        </w:tc>
        <w:tc>
          <w:tcPr/>
          <w:p>
            <w:pPr>
              <w:pStyle w:val="Compact"/>
              <w:jc w:val="right"/>
            </w:pPr>
            <w:r>
              <w:t xml:space="preserve">0.00</w:t>
            </w:r>
          </w:p>
        </w:tc>
        <w:tc>
          <w:tcPr/>
          <w:p>
            <w:pPr>
              <w:pStyle w:val="Compact"/>
              <w:jc w:val="right"/>
            </w:pPr>
            <w:r>
              <w:t xml:space="preserve">17.89</w:t>
            </w:r>
          </w:p>
        </w:tc>
        <w:tc>
          <w:tcPr/>
          <w:p>
            <w:pPr>
              <w:pStyle w:val="Compact"/>
              <w:jc w:val="right"/>
            </w:pPr>
            <w:r>
              <w:t xml:space="preserve">1.74</w:t>
            </w:r>
          </w:p>
        </w:tc>
      </w:tr>
      <w:tr>
        <w:tc>
          <w:tcPr/>
          <w:p>
            <w:pPr>
              <w:pStyle w:val="Compact"/>
              <w:jc w:val="left"/>
            </w:pPr>
            <w:r>
              <w:t xml:space="preserve">Percent.renter.consolidated</w:t>
            </w:r>
          </w:p>
        </w:tc>
        <w:tc>
          <w:tcPr/>
          <w:p>
            <w:pPr>
              <w:pStyle w:val="Compact"/>
              <w:jc w:val="right"/>
            </w:pPr>
            <w:r>
              <w:t xml:space="preserve">0.00</w:t>
            </w:r>
          </w:p>
        </w:tc>
        <w:tc>
          <w:tcPr/>
          <w:p>
            <w:pPr>
              <w:pStyle w:val="Compact"/>
              <w:jc w:val="right"/>
            </w:pPr>
            <w:r>
              <w:t xml:space="preserve">36.83</w:t>
            </w:r>
          </w:p>
        </w:tc>
        <w:tc>
          <w:tcPr/>
          <w:p>
            <w:pPr>
              <w:pStyle w:val="Compact"/>
              <w:jc w:val="right"/>
            </w:pPr>
            <w:r>
              <w:t xml:space="preserve">34.08</w:t>
            </w:r>
          </w:p>
        </w:tc>
        <w:tc>
          <w:tcPr/>
          <w:p>
            <w:pPr>
              <w:pStyle w:val="Compact"/>
              <w:jc w:val="right"/>
            </w:pPr>
            <w:r>
              <w:t xml:space="preserve">100.00</w:t>
            </w:r>
          </w:p>
        </w:tc>
        <w:tc>
          <w:tcPr/>
          <w:p>
            <w:pPr>
              <w:pStyle w:val="Compact"/>
              <w:jc w:val="right"/>
            </w:pPr>
            <w:r>
              <w:t xml:space="preserve">22.36</w:t>
            </w:r>
          </w:p>
        </w:tc>
      </w:tr>
      <w:tr>
        <w:tc>
          <w:tcPr/>
          <w:p>
            <w:pPr>
              <w:pStyle w:val="Compact"/>
              <w:jc w:val="left"/>
            </w:pPr>
            <w:r>
              <w:t xml:space="preserve">Percent.white.consolidated</w:t>
            </w:r>
          </w:p>
        </w:tc>
        <w:tc>
          <w:tcPr/>
          <w:p>
            <w:pPr>
              <w:pStyle w:val="Compact"/>
              <w:jc w:val="right"/>
            </w:pPr>
            <w:r>
              <w:t xml:space="preserve">0.72</w:t>
            </w:r>
          </w:p>
        </w:tc>
        <w:tc>
          <w:tcPr/>
          <w:p>
            <w:pPr>
              <w:pStyle w:val="Compact"/>
              <w:jc w:val="right"/>
            </w:pPr>
            <w:r>
              <w:t xml:space="preserve">53.38</w:t>
            </w:r>
          </w:p>
        </w:tc>
        <w:tc>
          <w:tcPr/>
          <w:p>
            <w:pPr>
              <w:pStyle w:val="Compact"/>
              <w:jc w:val="right"/>
            </w:pPr>
            <w:r>
              <w:t xml:space="preserve">56.24</w:t>
            </w:r>
          </w:p>
        </w:tc>
        <w:tc>
          <w:tcPr/>
          <w:p>
            <w:pPr>
              <w:pStyle w:val="Compact"/>
              <w:jc w:val="right"/>
            </w:pPr>
            <w:r>
              <w:t xml:space="preserve">100.00</w:t>
            </w:r>
          </w:p>
        </w:tc>
        <w:tc>
          <w:tcPr/>
          <w:p>
            <w:pPr>
              <w:pStyle w:val="Compact"/>
              <w:jc w:val="right"/>
            </w:pPr>
            <w:r>
              <w:t xml:space="preserve">29.68</w:t>
            </w:r>
          </w:p>
        </w:tc>
      </w:tr>
    </w:tbl>
    <w:p>
      <w:pPr>
        <w:pStyle w:val="BodyText"/>
      </w:pPr>
      <w:r>
        <w:t xml:space="preserve">The demographic make up water system that</w:t>
      </w:r>
      <w:r>
        <w:t xml:space="preserve"> </w:t>
      </w:r>
      <w:r>
        <w:t xml:space="preserve">“</w:t>
      </w:r>
      <w:r>
        <w:t xml:space="preserve">received</w:t>
      </w:r>
      <w:r>
        <w:t xml:space="preserve">”</w:t>
      </w:r>
      <w:r>
        <w:t xml:space="preserve"> </w:t>
      </w:r>
      <w:r>
        <w:t xml:space="preserve">consolidated community water systems (inclusive of private well and SSWS) consolidated during the study period are described below based on an areal interpolation of the demographics of the system boundaries based on census block groups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max</w:t>
            </w:r>
          </w:p>
        </w:tc>
        <w:tc>
          <w:tcPr/>
          <w:p>
            <w:pPr>
              <w:pStyle w:val="Compact"/>
              <w:jc w:val="right"/>
            </w:pPr>
            <w:r>
              <w:t xml:space="preserve">sd</w:t>
            </w:r>
          </w:p>
        </w:tc>
      </w:tr>
      <w:tr>
        <w:tc>
          <w:tcPr/>
          <w:p>
            <w:pPr>
              <w:pStyle w:val="Compact"/>
              <w:jc w:val="left"/>
            </w:pPr>
            <w:r>
              <w:t xml:space="preserve">MHI.receiving</w:t>
            </w:r>
          </w:p>
        </w:tc>
        <w:tc>
          <w:tcPr/>
          <w:p>
            <w:pPr>
              <w:pStyle w:val="Compact"/>
              <w:jc w:val="right"/>
            </w:pPr>
            <w:r>
              <w:t xml:space="preserve">26364.55</w:t>
            </w:r>
          </w:p>
        </w:tc>
        <w:tc>
          <w:tcPr/>
          <w:p>
            <w:pPr>
              <w:pStyle w:val="Compact"/>
              <w:jc w:val="right"/>
            </w:pPr>
            <w:r>
              <w:t xml:space="preserve">72832.07</w:t>
            </w:r>
          </w:p>
        </w:tc>
        <w:tc>
          <w:tcPr/>
          <w:p>
            <w:pPr>
              <w:pStyle w:val="Compact"/>
              <w:jc w:val="right"/>
            </w:pPr>
            <w:r>
              <w:t xml:space="preserve">65603.14</w:t>
            </w:r>
          </w:p>
        </w:tc>
        <w:tc>
          <w:tcPr/>
          <w:p>
            <w:pPr>
              <w:pStyle w:val="Compact"/>
              <w:jc w:val="right"/>
            </w:pPr>
            <w:r>
              <w:t xml:space="preserve">172724.42</w:t>
            </w:r>
          </w:p>
        </w:tc>
        <w:tc>
          <w:tcPr/>
          <w:p>
            <w:pPr>
              <w:pStyle w:val="Compact"/>
              <w:jc w:val="right"/>
            </w:pPr>
            <w:r>
              <w:t xml:space="preserve">32559.12</w:t>
            </w:r>
          </w:p>
        </w:tc>
      </w:tr>
      <w:tr>
        <w:tc>
          <w:tcPr/>
          <w:p>
            <w:pPr>
              <w:pStyle w:val="Compact"/>
              <w:jc w:val="left"/>
            </w:pPr>
            <w:r>
              <w:t xml:space="preserve">Percent.asian.receiving</w:t>
            </w:r>
          </w:p>
        </w:tc>
        <w:tc>
          <w:tcPr/>
          <w:p>
            <w:pPr>
              <w:pStyle w:val="Compact"/>
              <w:jc w:val="right"/>
            </w:pPr>
            <w:r>
              <w:t xml:space="preserve">0.00</w:t>
            </w:r>
          </w:p>
        </w:tc>
        <w:tc>
          <w:tcPr/>
          <w:p>
            <w:pPr>
              <w:pStyle w:val="Compact"/>
              <w:jc w:val="right"/>
            </w:pPr>
            <w:r>
              <w:t xml:space="preserve">5.24</w:t>
            </w:r>
          </w:p>
        </w:tc>
        <w:tc>
          <w:tcPr/>
          <w:p>
            <w:pPr>
              <w:pStyle w:val="Compact"/>
              <w:jc w:val="right"/>
            </w:pPr>
            <w:r>
              <w:t xml:space="preserve">2.78</w:t>
            </w:r>
          </w:p>
        </w:tc>
        <w:tc>
          <w:tcPr/>
          <w:p>
            <w:pPr>
              <w:pStyle w:val="Compact"/>
              <w:jc w:val="right"/>
            </w:pPr>
            <w:r>
              <w:t xml:space="preserve">54.78</w:t>
            </w:r>
          </w:p>
        </w:tc>
        <w:tc>
          <w:tcPr/>
          <w:p>
            <w:pPr>
              <w:pStyle w:val="Compact"/>
              <w:jc w:val="right"/>
            </w:pPr>
            <w:r>
              <w:t xml:space="preserve">8.14</w:t>
            </w:r>
          </w:p>
        </w:tc>
      </w:tr>
      <w:tr>
        <w:tc>
          <w:tcPr/>
          <w:p>
            <w:pPr>
              <w:pStyle w:val="Compact"/>
              <w:jc w:val="left"/>
            </w:pPr>
            <w:r>
              <w:t xml:space="preserve">Percent.black.receiving</w:t>
            </w:r>
          </w:p>
        </w:tc>
        <w:tc>
          <w:tcPr/>
          <w:p>
            <w:pPr>
              <w:pStyle w:val="Compact"/>
              <w:jc w:val="right"/>
            </w:pPr>
            <w:r>
              <w:t xml:space="preserve">0.00</w:t>
            </w:r>
          </w:p>
        </w:tc>
        <w:tc>
          <w:tcPr/>
          <w:p>
            <w:pPr>
              <w:pStyle w:val="Compact"/>
              <w:jc w:val="right"/>
            </w:pPr>
            <w:r>
              <w:t xml:space="preserve">2.39</w:t>
            </w:r>
          </w:p>
        </w:tc>
        <w:tc>
          <w:tcPr/>
          <w:p>
            <w:pPr>
              <w:pStyle w:val="Compact"/>
              <w:jc w:val="right"/>
            </w:pPr>
            <w:r>
              <w:t xml:space="preserve">0.82</w:t>
            </w:r>
          </w:p>
        </w:tc>
        <w:tc>
          <w:tcPr/>
          <w:p>
            <w:pPr>
              <w:pStyle w:val="Compact"/>
              <w:jc w:val="right"/>
            </w:pPr>
            <w:r>
              <w:t xml:space="preserve">18.61</w:t>
            </w:r>
          </w:p>
        </w:tc>
        <w:tc>
          <w:tcPr/>
          <w:p>
            <w:pPr>
              <w:pStyle w:val="Compact"/>
              <w:jc w:val="right"/>
            </w:pPr>
            <w:r>
              <w:t xml:space="preserve">3.87</w:t>
            </w:r>
          </w:p>
        </w:tc>
      </w:tr>
      <w:tr>
        <w:tc>
          <w:tcPr/>
          <w:p>
            <w:pPr>
              <w:pStyle w:val="Compact"/>
              <w:jc w:val="left"/>
            </w:pPr>
            <w:r>
              <w:t xml:space="preserve">Percent.hispanicorlatino.consolidated</w:t>
            </w:r>
          </w:p>
        </w:tc>
        <w:tc>
          <w:tcPr/>
          <w:p>
            <w:pPr>
              <w:pStyle w:val="Compact"/>
              <w:jc w:val="right"/>
            </w:pPr>
            <w:r>
              <w:t xml:space="preserve">0.00</w:t>
            </w:r>
          </w:p>
        </w:tc>
        <w:tc>
          <w:tcPr/>
          <w:p>
            <w:pPr>
              <w:pStyle w:val="Compact"/>
              <w:jc w:val="right"/>
            </w:pPr>
            <w:r>
              <w:t xml:space="preserve">33.64</w:t>
            </w:r>
          </w:p>
        </w:tc>
        <w:tc>
          <w:tcPr/>
          <w:p>
            <w:pPr>
              <w:pStyle w:val="Compact"/>
              <w:jc w:val="right"/>
            </w:pPr>
            <w:r>
              <w:t xml:space="preserve">24.63</w:t>
            </w:r>
          </w:p>
        </w:tc>
        <w:tc>
          <w:tcPr/>
          <w:p>
            <w:pPr>
              <w:pStyle w:val="Compact"/>
              <w:jc w:val="right"/>
            </w:pPr>
            <w:r>
              <w:t xml:space="preserve">99.28</w:t>
            </w:r>
          </w:p>
        </w:tc>
        <w:tc>
          <w:tcPr/>
          <w:p>
            <w:pPr>
              <w:pStyle w:val="Compact"/>
              <w:jc w:val="right"/>
            </w:pPr>
            <w:r>
              <w:t xml:space="preserve">28.64</w:t>
            </w:r>
          </w:p>
        </w:tc>
      </w:tr>
      <w:tr>
        <w:tc>
          <w:tcPr/>
          <w:p>
            <w:pPr>
              <w:pStyle w:val="Compact"/>
              <w:jc w:val="left"/>
            </w:pPr>
            <w:r>
              <w:t xml:space="preserve">Percent.native.receiving</w:t>
            </w:r>
          </w:p>
        </w:tc>
        <w:tc>
          <w:tcPr/>
          <w:p>
            <w:pPr>
              <w:pStyle w:val="Compact"/>
              <w:jc w:val="right"/>
            </w:pPr>
            <w:r>
              <w:t xml:space="preserve">0.00</w:t>
            </w:r>
          </w:p>
        </w:tc>
        <w:tc>
          <w:tcPr/>
          <w:p>
            <w:pPr>
              <w:pStyle w:val="Compact"/>
              <w:jc w:val="right"/>
            </w:pPr>
            <w:r>
              <w:t xml:space="preserve">0.71</w:t>
            </w:r>
          </w:p>
        </w:tc>
        <w:tc>
          <w:tcPr/>
          <w:p>
            <w:pPr>
              <w:pStyle w:val="Compact"/>
              <w:jc w:val="right"/>
            </w:pPr>
            <w:r>
              <w:t xml:space="preserve">0.23</w:t>
            </w:r>
          </w:p>
        </w:tc>
        <w:tc>
          <w:tcPr/>
          <w:p>
            <w:pPr>
              <w:pStyle w:val="Compact"/>
              <w:jc w:val="right"/>
            </w:pPr>
            <w:r>
              <w:t xml:space="preserve">18.41</w:t>
            </w:r>
          </w:p>
        </w:tc>
        <w:tc>
          <w:tcPr/>
          <w:p>
            <w:pPr>
              <w:pStyle w:val="Compact"/>
              <w:jc w:val="right"/>
            </w:pPr>
            <w:r>
              <w:t xml:space="preserve">2.03</w:t>
            </w:r>
          </w:p>
        </w:tc>
      </w:tr>
      <w:tr>
        <w:tc>
          <w:tcPr/>
          <w:p>
            <w:pPr>
              <w:pStyle w:val="Compact"/>
              <w:jc w:val="left"/>
            </w:pPr>
            <w:r>
              <w:t xml:space="preserve">Percent.PI.receiving</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7.03</w:t>
            </w:r>
          </w:p>
        </w:tc>
        <w:tc>
          <w:tcPr/>
          <w:p>
            <w:pPr>
              <w:pStyle w:val="Compact"/>
              <w:jc w:val="right"/>
            </w:pPr>
            <w:r>
              <w:t xml:space="preserve">0.74</w:t>
            </w:r>
          </w:p>
        </w:tc>
      </w:tr>
      <w:tr>
        <w:tc>
          <w:tcPr/>
          <w:p>
            <w:pPr>
              <w:pStyle w:val="Compact"/>
              <w:jc w:val="left"/>
            </w:pPr>
            <w:r>
              <w:t xml:space="preserve">Percent.renter.receiving</w:t>
            </w:r>
          </w:p>
        </w:tc>
        <w:tc>
          <w:tcPr/>
          <w:p>
            <w:pPr>
              <w:pStyle w:val="Compact"/>
              <w:jc w:val="right"/>
            </w:pPr>
            <w:r>
              <w:t xml:space="preserve">3.12</w:t>
            </w:r>
          </w:p>
        </w:tc>
        <w:tc>
          <w:tcPr/>
          <w:p>
            <w:pPr>
              <w:pStyle w:val="Compact"/>
              <w:jc w:val="right"/>
            </w:pPr>
            <w:r>
              <w:t xml:space="preserve">38.45</w:t>
            </w:r>
          </w:p>
        </w:tc>
        <w:tc>
          <w:tcPr/>
          <w:p>
            <w:pPr>
              <w:pStyle w:val="Compact"/>
              <w:jc w:val="right"/>
            </w:pPr>
            <w:r>
              <w:t xml:space="preserve">39.35</w:t>
            </w:r>
          </w:p>
        </w:tc>
        <w:tc>
          <w:tcPr/>
          <w:p>
            <w:pPr>
              <w:pStyle w:val="Compact"/>
              <w:jc w:val="right"/>
            </w:pPr>
            <w:r>
              <w:t xml:space="preserve">98.68</w:t>
            </w:r>
          </w:p>
        </w:tc>
        <w:tc>
          <w:tcPr/>
          <w:p>
            <w:pPr>
              <w:pStyle w:val="Compact"/>
              <w:jc w:val="right"/>
            </w:pPr>
            <w:r>
              <w:t xml:space="preserve">18.26</w:t>
            </w:r>
          </w:p>
        </w:tc>
      </w:tr>
      <w:tr>
        <w:tc>
          <w:tcPr/>
          <w:p>
            <w:pPr>
              <w:pStyle w:val="Compact"/>
              <w:jc w:val="left"/>
            </w:pPr>
            <w:r>
              <w:t xml:space="preserve">Percent.white.receiving</w:t>
            </w:r>
          </w:p>
        </w:tc>
        <w:tc>
          <w:tcPr/>
          <w:p>
            <w:pPr>
              <w:pStyle w:val="Compact"/>
              <w:jc w:val="right"/>
            </w:pPr>
            <w:r>
              <w:t xml:space="preserve">5.79</w:t>
            </w:r>
          </w:p>
        </w:tc>
        <w:tc>
          <w:tcPr/>
          <w:p>
            <w:pPr>
              <w:pStyle w:val="Compact"/>
              <w:jc w:val="right"/>
            </w:pPr>
            <w:r>
              <w:t xml:space="preserve">52.95</w:t>
            </w:r>
          </w:p>
        </w:tc>
        <w:tc>
          <w:tcPr/>
          <w:p>
            <w:pPr>
              <w:pStyle w:val="Compact"/>
              <w:jc w:val="right"/>
            </w:pPr>
            <w:r>
              <w:t xml:space="preserve">53.52</w:t>
            </w:r>
          </w:p>
        </w:tc>
        <w:tc>
          <w:tcPr/>
          <w:p>
            <w:pPr>
              <w:pStyle w:val="Compact"/>
              <w:jc w:val="right"/>
            </w:pPr>
            <w:r>
              <w:t xml:space="preserve">100.00</w:t>
            </w:r>
          </w:p>
        </w:tc>
        <w:tc>
          <w:tcPr/>
          <w:p>
            <w:pPr>
              <w:pStyle w:val="Compact"/>
              <w:jc w:val="right"/>
            </w:pPr>
            <w:r>
              <w:t xml:space="preserve">26.52</w:t>
            </w:r>
          </w:p>
        </w:tc>
      </w:tr>
    </w:tbl>
    <w:p>
      <w:pPr>
        <w:pStyle w:val="BodyText"/>
      </w:pPr>
      <w:r>
        <w:t xml:space="preserve">Looking at these consolidations individually, there is little to no clear trends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var</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max</w:t>
            </w:r>
          </w:p>
        </w:tc>
        <w:tc>
          <w:tcPr/>
          <w:p>
            <w:pPr>
              <w:pStyle w:val="Compact"/>
              <w:jc w:val="right"/>
            </w:pPr>
            <w:r>
              <w:t xml:space="preserve">sd</w:t>
            </w:r>
          </w:p>
        </w:tc>
      </w:tr>
      <w:tr>
        <w:tc>
          <w:tcPr/>
          <w:p>
            <w:pPr>
              <w:pStyle w:val="Compact"/>
              <w:jc w:val="left"/>
            </w:pPr>
            <w:r>
              <w:t xml:space="preserve">dif.MHI</w:t>
            </w:r>
          </w:p>
        </w:tc>
        <w:tc>
          <w:tcPr/>
          <w:p>
            <w:pPr>
              <w:pStyle w:val="Compact"/>
              <w:jc w:val="right"/>
            </w:pPr>
            <w:r>
              <w:t xml:space="preserve">-77276.58</w:t>
            </w:r>
          </w:p>
        </w:tc>
        <w:tc>
          <w:tcPr/>
          <w:p>
            <w:pPr>
              <w:pStyle w:val="Compact"/>
              <w:jc w:val="right"/>
            </w:pPr>
            <w:r>
              <w:t xml:space="preserve">7967.32</w:t>
            </w:r>
          </w:p>
        </w:tc>
        <w:tc>
          <w:tcPr/>
          <w:p>
            <w:pPr>
              <w:pStyle w:val="Compact"/>
              <w:jc w:val="right"/>
            </w:pPr>
            <w:r>
              <w:t xml:space="preserve">332.52</w:t>
            </w:r>
          </w:p>
        </w:tc>
        <w:tc>
          <w:tcPr/>
          <w:p>
            <w:pPr>
              <w:pStyle w:val="Compact"/>
              <w:jc w:val="right"/>
            </w:pPr>
            <w:r>
              <w:t xml:space="preserve">70746.17</w:t>
            </w:r>
          </w:p>
        </w:tc>
        <w:tc>
          <w:tcPr/>
          <w:p>
            <w:pPr>
              <w:pStyle w:val="Compact"/>
              <w:jc w:val="right"/>
            </w:pPr>
            <w:r>
              <w:t xml:space="preserve">29462.14</w:t>
            </w:r>
          </w:p>
        </w:tc>
      </w:tr>
      <w:tr>
        <w:tc>
          <w:tcPr/>
          <w:p>
            <w:pPr>
              <w:pStyle w:val="Compact"/>
              <w:jc w:val="left"/>
            </w:pPr>
            <w:r>
              <w:t xml:space="preserve">dif.renter</w:t>
            </w:r>
          </w:p>
        </w:tc>
        <w:tc>
          <w:tcPr/>
          <w:p>
            <w:pPr>
              <w:pStyle w:val="Compact"/>
              <w:jc w:val="right"/>
            </w:pPr>
            <w:r>
              <w:t xml:space="preserve">-79.92</w:t>
            </w:r>
          </w:p>
        </w:tc>
        <w:tc>
          <w:tcPr/>
          <w:p>
            <w:pPr>
              <w:pStyle w:val="Compact"/>
              <w:jc w:val="right"/>
            </w:pPr>
            <w:r>
              <w:t xml:space="preserve">1.20</w:t>
            </w:r>
          </w:p>
        </w:tc>
        <w:tc>
          <w:tcPr/>
          <w:p>
            <w:pPr>
              <w:pStyle w:val="Compact"/>
              <w:jc w:val="right"/>
            </w:pPr>
            <w:r>
              <w:t xml:space="preserve">0.12</w:t>
            </w:r>
          </w:p>
        </w:tc>
        <w:tc>
          <w:tcPr/>
          <w:p>
            <w:pPr>
              <w:pStyle w:val="Compact"/>
              <w:jc w:val="right"/>
            </w:pPr>
            <w:r>
              <w:t xml:space="preserve">55.50</w:t>
            </w:r>
          </w:p>
        </w:tc>
        <w:tc>
          <w:tcPr/>
          <w:p>
            <w:pPr>
              <w:pStyle w:val="Compact"/>
              <w:jc w:val="right"/>
            </w:pPr>
            <w:r>
              <w:t xml:space="preserve">20.73</w:t>
            </w:r>
          </w:p>
        </w:tc>
      </w:tr>
      <w:tr>
        <w:tc>
          <w:tcPr/>
          <w:p>
            <w:pPr>
              <w:pStyle w:val="Compact"/>
              <w:jc w:val="left"/>
            </w:pPr>
            <w:r>
              <w:t xml:space="preserve">dif.white</w:t>
            </w:r>
          </w:p>
        </w:tc>
        <w:tc>
          <w:tcPr/>
          <w:p>
            <w:pPr>
              <w:pStyle w:val="Compact"/>
              <w:jc w:val="right"/>
            </w:pPr>
            <w:r>
              <w:t xml:space="preserve">-47.72</w:t>
            </w:r>
          </w:p>
        </w:tc>
        <w:tc>
          <w:tcPr/>
          <w:p>
            <w:pPr>
              <w:pStyle w:val="Compact"/>
              <w:jc w:val="right"/>
            </w:pPr>
            <w:r>
              <w:t xml:space="preserve">0.78</w:t>
            </w:r>
          </w:p>
        </w:tc>
        <w:tc>
          <w:tcPr/>
          <w:p>
            <w:pPr>
              <w:pStyle w:val="Compact"/>
              <w:jc w:val="right"/>
            </w:pPr>
            <w:r>
              <w:t xml:space="preserve">0.05</w:t>
            </w:r>
          </w:p>
        </w:tc>
        <w:tc>
          <w:tcPr/>
          <w:p>
            <w:pPr>
              <w:pStyle w:val="Compact"/>
              <w:jc w:val="right"/>
            </w:pPr>
            <w:r>
              <w:t xml:space="preserve">55.81</w:t>
            </w:r>
          </w:p>
        </w:tc>
        <w:tc>
          <w:tcPr/>
          <w:p>
            <w:pPr>
              <w:pStyle w:val="Compact"/>
              <w:jc w:val="right"/>
            </w:pPr>
            <w:r>
              <w:t xml:space="preserve">17.29</w:t>
            </w:r>
          </w:p>
        </w:tc>
      </w:tr>
    </w:tbl>
    <w:bookmarkEnd w:id="27"/>
    <w:bookmarkStart w:id="31" w:name="appendix"/>
    <w:p>
      <w:pPr>
        <w:pStyle w:val="Heading2"/>
      </w:pPr>
      <w:r>
        <w:t xml:space="preserve">Appendix</w:t>
      </w:r>
    </w:p>
    <w:bookmarkStart w:id="28" w:name="Xd8dd7979c444caa78e8d4f94da34b7c0f03b266"/>
    <w:p>
      <w:pPr>
        <w:pStyle w:val="Heading3"/>
      </w:pPr>
      <w:r>
        <w:t xml:space="preserve">Institutional types for all consolidated water systems (not just CWS):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Consolidated_Inst_Type</w:t>
            </w:r>
          </w:p>
        </w:tc>
        <w:tc>
          <w:tcPr/>
          <w:p>
            <w:pPr>
              <w:pStyle w:val="Compact"/>
              <w:jc w:val="right"/>
            </w:pPr>
            <w:r>
              <w:t xml:space="preserve">Freq</w:t>
            </w:r>
          </w:p>
        </w:tc>
      </w:tr>
      <w:tr>
        <w:tc>
          <w:tcPr/>
          <w:p>
            <w:pPr>
              <w:pStyle w:val="Compact"/>
              <w:jc w:val="left"/>
            </w:pPr>
            <w:r>
              <w:t xml:space="preserve">Private (other)</w:t>
            </w:r>
          </w:p>
        </w:tc>
        <w:tc>
          <w:tcPr/>
          <w:p>
            <w:pPr>
              <w:pStyle w:val="Compact"/>
              <w:jc w:val="right"/>
            </w:pPr>
            <w:r>
              <w:t xml:space="preserve">80</w:t>
            </w:r>
          </w:p>
        </w:tc>
      </w:tr>
      <w:tr>
        <w:tc>
          <w:tcPr/>
          <w:p>
            <w:pPr>
              <w:pStyle w:val="Compact"/>
              <w:jc w:val="left"/>
            </w:pPr>
            <w:r>
              <w:t xml:space="preserve">MHP</w:t>
            </w:r>
          </w:p>
        </w:tc>
        <w:tc>
          <w:tcPr/>
          <w:p>
            <w:pPr>
              <w:pStyle w:val="Compact"/>
              <w:jc w:val="right"/>
            </w:pPr>
            <w:r>
              <w:t xml:space="preserve">31</w:t>
            </w:r>
          </w:p>
        </w:tc>
      </w:tr>
      <w:tr>
        <w:tc>
          <w:tcPr/>
          <w:p>
            <w:pPr>
              <w:pStyle w:val="Compact"/>
              <w:jc w:val="left"/>
            </w:pPr>
            <w:r>
              <w:t xml:space="preserve">IOU</w:t>
            </w:r>
          </w:p>
        </w:tc>
        <w:tc>
          <w:tcPr/>
          <w:p>
            <w:pPr>
              <w:pStyle w:val="Compact"/>
              <w:jc w:val="right"/>
            </w:pPr>
            <w:r>
              <w:t xml:space="preserve">22</w:t>
            </w:r>
          </w:p>
        </w:tc>
      </w:tr>
      <w:tr>
        <w:tc>
          <w:tcPr/>
          <w:p>
            <w:pPr>
              <w:pStyle w:val="Compact"/>
              <w:jc w:val="left"/>
            </w:pPr>
            <w:r>
              <w:t xml:space="preserve">School</w:t>
            </w:r>
          </w:p>
        </w:tc>
        <w:tc>
          <w:tcPr/>
          <w:p>
            <w:pPr>
              <w:pStyle w:val="Compact"/>
              <w:jc w:val="right"/>
            </w:pPr>
            <w:r>
              <w:t xml:space="preserve">20</w:t>
            </w:r>
          </w:p>
        </w:tc>
      </w:tr>
      <w:tr>
        <w:tc>
          <w:tcPr/>
          <w:p>
            <w:pPr>
              <w:pStyle w:val="Compact"/>
              <w:jc w:val="left"/>
            </w:pPr>
            <w:r>
              <w:t xml:space="preserve">MWC</w:t>
            </w:r>
          </w:p>
        </w:tc>
        <w:tc>
          <w:tcPr/>
          <w:p>
            <w:pPr>
              <w:pStyle w:val="Compact"/>
              <w:jc w:val="right"/>
            </w:pPr>
            <w:r>
              <w:t xml:space="preserve">14</w:t>
            </w:r>
          </w:p>
        </w:tc>
      </w:tr>
      <w:tr>
        <w:tc>
          <w:tcPr/>
          <w:p>
            <w:pPr>
              <w:pStyle w:val="Compact"/>
              <w:jc w:val="left"/>
            </w:pPr>
            <w:r>
              <w:t xml:space="preserve">CSA</w:t>
            </w:r>
          </w:p>
        </w:tc>
        <w:tc>
          <w:tcPr/>
          <w:p>
            <w:pPr>
              <w:pStyle w:val="Compact"/>
              <w:jc w:val="right"/>
            </w:pPr>
            <w:r>
              <w:t xml:space="preserve">7</w:t>
            </w:r>
          </w:p>
        </w:tc>
      </w:tr>
      <w:tr>
        <w:tc>
          <w:tcPr/>
          <w:p>
            <w:pPr>
              <w:pStyle w:val="Compact"/>
              <w:jc w:val="left"/>
            </w:pPr>
            <w:r>
              <w:t xml:space="preserve">State</w:t>
            </w:r>
          </w:p>
        </w:tc>
        <w:tc>
          <w:tcPr/>
          <w:p>
            <w:pPr>
              <w:pStyle w:val="Compact"/>
              <w:jc w:val="right"/>
            </w:pPr>
            <w:r>
              <w:t xml:space="preserve">7</w:t>
            </w:r>
          </w:p>
        </w:tc>
      </w:tr>
      <w:tr>
        <w:tc>
          <w:tcPr/>
          <w:p>
            <w:pPr>
              <w:pStyle w:val="Compact"/>
              <w:jc w:val="left"/>
            </w:pPr>
            <w:r>
              <w:t xml:space="preserve">City</w:t>
            </w:r>
          </w:p>
        </w:tc>
        <w:tc>
          <w:tcPr/>
          <w:p>
            <w:pPr>
              <w:pStyle w:val="Compact"/>
              <w:jc w:val="right"/>
            </w:pPr>
            <w:r>
              <w:t xml:space="preserve">4</w:t>
            </w:r>
          </w:p>
        </w:tc>
      </w:tr>
      <w:tr>
        <w:tc>
          <w:tcPr/>
          <w:p>
            <w:pPr>
              <w:pStyle w:val="Compact"/>
              <w:jc w:val="left"/>
            </w:pPr>
            <w:r>
              <w:t xml:space="preserve">CSD</w:t>
            </w:r>
          </w:p>
        </w:tc>
        <w:tc>
          <w:tcPr/>
          <w:p>
            <w:pPr>
              <w:pStyle w:val="Compact"/>
              <w:jc w:val="right"/>
            </w:pPr>
            <w:r>
              <w:t xml:space="preserve">4</w:t>
            </w:r>
          </w:p>
        </w:tc>
      </w:tr>
      <w:tr>
        <w:tc>
          <w:tcPr/>
          <w:p>
            <w:pPr>
              <w:pStyle w:val="Compact"/>
              <w:jc w:val="left"/>
            </w:pPr>
            <w:r>
              <w:t xml:space="preserve">Federal</w:t>
            </w:r>
          </w:p>
        </w:tc>
        <w:tc>
          <w:tcPr/>
          <w:p>
            <w:pPr>
              <w:pStyle w:val="Compact"/>
              <w:jc w:val="right"/>
            </w:pPr>
            <w:r>
              <w:t xml:space="preserve">4</w:t>
            </w:r>
          </w:p>
        </w:tc>
      </w:tr>
      <w:tr>
        <w:tc>
          <w:tcPr/>
          <w:p>
            <w:pPr>
              <w:pStyle w:val="Compact"/>
              <w:jc w:val="left"/>
            </w:pPr>
            <w:r>
              <w:t xml:space="preserve">County Water District</w:t>
            </w:r>
          </w:p>
        </w:tc>
        <w:tc>
          <w:tcPr/>
          <w:p>
            <w:pPr>
              <w:pStyle w:val="Compact"/>
              <w:jc w:val="right"/>
            </w:pPr>
            <w:r>
              <w:t xml:space="preserve">3</w:t>
            </w:r>
          </w:p>
        </w:tc>
      </w:tr>
      <w:tr>
        <w:tc>
          <w:tcPr/>
          <w:p>
            <w:pPr>
              <w:pStyle w:val="Compact"/>
              <w:jc w:val="left"/>
            </w:pPr>
            <w:r>
              <w:t xml:space="preserve">County (other)</w:t>
            </w:r>
          </w:p>
        </w:tc>
        <w:tc>
          <w:tcPr/>
          <w:p>
            <w:pPr>
              <w:pStyle w:val="Compact"/>
              <w:jc w:val="right"/>
            </w:pPr>
            <w:r>
              <w:t xml:space="preserve">2</w:t>
            </w:r>
          </w:p>
        </w:tc>
      </w:tr>
      <w:tr>
        <w:tc>
          <w:tcPr/>
          <w:p>
            <w:pPr>
              <w:pStyle w:val="Compact"/>
              <w:jc w:val="left"/>
            </w:pPr>
            <w:r>
              <w:t xml:space="preserve">Domestic wells</w:t>
            </w:r>
          </w:p>
        </w:tc>
        <w:tc>
          <w:tcPr/>
          <w:p>
            <w:pPr>
              <w:pStyle w:val="Compact"/>
              <w:jc w:val="right"/>
            </w:pPr>
            <w:r>
              <w:t xml:space="preserve">2</w:t>
            </w:r>
          </w:p>
        </w:tc>
      </w:tr>
      <w:tr>
        <w:tc>
          <w:tcPr/>
          <w:p>
            <w:pPr>
              <w:pStyle w:val="Compact"/>
              <w:jc w:val="left"/>
            </w:pPr>
            <w:r>
              <w:t xml:space="preserve">MWD</w:t>
            </w:r>
          </w:p>
        </w:tc>
        <w:tc>
          <w:tcPr/>
          <w:p>
            <w:pPr>
              <w:pStyle w:val="Compact"/>
              <w:jc w:val="right"/>
            </w:pPr>
            <w:r>
              <w:t xml:space="preserve">2</w:t>
            </w:r>
          </w:p>
        </w:tc>
      </w:tr>
      <w:tr>
        <w:tc>
          <w:tcPr/>
          <w:p>
            <w:pPr>
              <w:pStyle w:val="Compact"/>
              <w:jc w:val="left"/>
            </w:pPr>
            <w:r>
              <w:t xml:space="preserve">Water District</w:t>
            </w:r>
          </w:p>
        </w:tc>
        <w:tc>
          <w:tcPr/>
          <w:p>
            <w:pPr>
              <w:pStyle w:val="Compact"/>
              <w:jc w:val="right"/>
            </w:pPr>
            <w:r>
              <w:t xml:space="preserve">2</w:t>
            </w:r>
          </w:p>
        </w:tc>
      </w:tr>
      <w:tr>
        <w:tc>
          <w:tcPr/>
          <w:p>
            <w:pPr>
              <w:pStyle w:val="Compact"/>
              <w:jc w:val="left"/>
            </w:pPr>
            <w:r>
              <w:t xml:space="preserve">ID</w:t>
            </w:r>
          </w:p>
        </w:tc>
        <w:tc>
          <w:tcPr/>
          <w:p>
            <w:pPr>
              <w:pStyle w:val="Compact"/>
              <w:jc w:val="right"/>
            </w:pPr>
            <w:r>
              <w:t xml:space="preserve">1</w:t>
            </w:r>
          </w:p>
        </w:tc>
      </w:tr>
      <w:tr>
        <w:tc>
          <w:tcPr/>
          <w:p>
            <w:pPr>
              <w:pStyle w:val="Compact"/>
              <w:jc w:val="left"/>
            </w:pPr>
            <w:r>
              <w:t xml:space="preserve">Recreation and park district</w:t>
            </w:r>
          </w:p>
        </w:tc>
        <w:tc>
          <w:tcPr/>
          <w:p>
            <w:pPr>
              <w:pStyle w:val="Compact"/>
              <w:jc w:val="right"/>
            </w:pPr>
            <w:r>
              <w:t xml:space="preserve">1</w:t>
            </w:r>
          </w:p>
        </w:tc>
      </w:tr>
    </w:tbl>
    <w:bookmarkEnd w:id="28"/>
    <w:bookmarkStart w:id="29" w:name="X48defc1845d21b9aa3d29d4f04fd7a134bf264d"/>
    <w:p>
      <w:pPr>
        <w:pStyle w:val="Heading3"/>
      </w:pPr>
      <w:r>
        <w:t xml:space="preserve">Institutional types for all receiving water systems (not just those receiving CWS systems):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Institutional_Type</w:t>
            </w:r>
          </w:p>
        </w:tc>
        <w:tc>
          <w:tcPr/>
          <w:p>
            <w:pPr>
              <w:pStyle w:val="Compact"/>
              <w:jc w:val="right"/>
            </w:pPr>
            <w:r>
              <w:t xml:space="preserve">Freq</w:t>
            </w:r>
          </w:p>
        </w:tc>
      </w:tr>
      <w:tr>
        <w:tc>
          <w:tcPr/>
          <w:p>
            <w:pPr>
              <w:pStyle w:val="Compact"/>
              <w:jc w:val="left"/>
            </w:pPr>
            <w:r>
              <w:t xml:space="preserve">City</w:t>
            </w:r>
          </w:p>
        </w:tc>
        <w:tc>
          <w:tcPr/>
          <w:p>
            <w:pPr>
              <w:pStyle w:val="Compact"/>
              <w:jc w:val="right"/>
            </w:pPr>
            <w:r>
              <w:t xml:space="preserve">39</w:t>
            </w:r>
          </w:p>
        </w:tc>
      </w:tr>
      <w:tr>
        <w:tc>
          <w:tcPr/>
          <w:p>
            <w:pPr>
              <w:pStyle w:val="Compact"/>
              <w:jc w:val="left"/>
            </w:pPr>
            <w:r>
              <w:t xml:space="preserve">IOU</w:t>
            </w:r>
          </w:p>
        </w:tc>
        <w:tc>
          <w:tcPr/>
          <w:p>
            <w:pPr>
              <w:pStyle w:val="Compact"/>
              <w:jc w:val="right"/>
            </w:pPr>
            <w:r>
              <w:t xml:space="preserve">36</w:t>
            </w:r>
          </w:p>
        </w:tc>
      </w:tr>
      <w:tr>
        <w:tc>
          <w:tcPr/>
          <w:p>
            <w:pPr>
              <w:pStyle w:val="Compact"/>
              <w:jc w:val="left"/>
            </w:pPr>
            <w:r>
              <w:t xml:space="preserve">County Water District</w:t>
            </w:r>
          </w:p>
        </w:tc>
        <w:tc>
          <w:tcPr/>
          <w:p>
            <w:pPr>
              <w:pStyle w:val="Compact"/>
              <w:jc w:val="right"/>
            </w:pPr>
            <w:r>
              <w:t xml:space="preserve">12</w:t>
            </w:r>
          </w:p>
        </w:tc>
      </w:tr>
      <w:tr>
        <w:tc>
          <w:tcPr/>
          <w:p>
            <w:pPr>
              <w:pStyle w:val="Compact"/>
              <w:jc w:val="left"/>
            </w:pPr>
            <w:r>
              <w:t xml:space="preserve">CSD</w:t>
            </w:r>
          </w:p>
        </w:tc>
        <w:tc>
          <w:tcPr/>
          <w:p>
            <w:pPr>
              <w:pStyle w:val="Compact"/>
              <w:jc w:val="right"/>
            </w:pPr>
            <w:r>
              <w:t xml:space="preserve">9</w:t>
            </w:r>
          </w:p>
        </w:tc>
      </w:tr>
      <w:tr>
        <w:tc>
          <w:tcPr/>
          <w:p>
            <w:pPr>
              <w:pStyle w:val="Compact"/>
              <w:jc w:val="left"/>
            </w:pPr>
            <w:r>
              <w:t xml:space="preserve">Irrigation District</w:t>
            </w:r>
          </w:p>
        </w:tc>
        <w:tc>
          <w:tcPr/>
          <w:p>
            <w:pPr>
              <w:pStyle w:val="Compact"/>
              <w:jc w:val="right"/>
            </w:pPr>
            <w:r>
              <w:t xml:space="preserve">6</w:t>
            </w:r>
          </w:p>
        </w:tc>
      </w:tr>
      <w:tr>
        <w:tc>
          <w:tcPr/>
          <w:p>
            <w:pPr>
              <w:pStyle w:val="Compact"/>
              <w:jc w:val="left"/>
            </w:pPr>
            <w:r>
              <w:t xml:space="preserve">PUD</w:t>
            </w:r>
          </w:p>
        </w:tc>
        <w:tc>
          <w:tcPr/>
          <w:p>
            <w:pPr>
              <w:pStyle w:val="Compact"/>
              <w:jc w:val="right"/>
            </w:pPr>
            <w:r>
              <w:t xml:space="preserve">6</w:t>
            </w:r>
          </w:p>
        </w:tc>
      </w:tr>
      <w:tr>
        <w:tc>
          <w:tcPr/>
          <w:p>
            <w:pPr>
              <w:pStyle w:val="Compact"/>
              <w:jc w:val="left"/>
            </w:pPr>
            <w:r>
              <w:t xml:space="preserve">Special Act District</w:t>
            </w:r>
          </w:p>
        </w:tc>
        <w:tc>
          <w:tcPr/>
          <w:p>
            <w:pPr>
              <w:pStyle w:val="Compact"/>
              <w:jc w:val="right"/>
            </w:pPr>
            <w:r>
              <w:t xml:space="preserve">6</w:t>
            </w:r>
          </w:p>
        </w:tc>
      </w:tr>
      <w:tr>
        <w:tc>
          <w:tcPr/>
          <w:p>
            <w:pPr>
              <w:pStyle w:val="Compact"/>
              <w:jc w:val="left"/>
            </w:pPr>
            <w:r>
              <w:t xml:space="preserve">MWC</w:t>
            </w:r>
          </w:p>
        </w:tc>
        <w:tc>
          <w:tcPr/>
          <w:p>
            <w:pPr>
              <w:pStyle w:val="Compact"/>
              <w:jc w:val="right"/>
            </w:pPr>
            <w:r>
              <w:t xml:space="preserve">5</w:t>
            </w:r>
          </w:p>
        </w:tc>
      </w:tr>
      <w:tr>
        <w:tc>
          <w:tcPr/>
          <w:p>
            <w:pPr>
              <w:pStyle w:val="Compact"/>
              <w:jc w:val="left"/>
            </w:pPr>
            <w:r>
              <w:t xml:space="preserve">Private (other)</w:t>
            </w:r>
          </w:p>
        </w:tc>
        <w:tc>
          <w:tcPr/>
          <w:p>
            <w:pPr>
              <w:pStyle w:val="Compact"/>
              <w:jc w:val="right"/>
            </w:pPr>
            <w:r>
              <w:t xml:space="preserve">4</w:t>
            </w:r>
          </w:p>
        </w:tc>
      </w:tr>
      <w:tr>
        <w:tc>
          <w:tcPr/>
          <w:p>
            <w:pPr>
              <w:pStyle w:val="Compact"/>
              <w:jc w:val="left"/>
            </w:pPr>
            <w:r>
              <w:t xml:space="preserve">CSA</w:t>
            </w:r>
          </w:p>
        </w:tc>
        <w:tc>
          <w:tcPr/>
          <w:p>
            <w:pPr>
              <w:pStyle w:val="Compact"/>
              <w:jc w:val="right"/>
            </w:pPr>
            <w:r>
              <w:t xml:space="preserve">3</w:t>
            </w:r>
          </w:p>
        </w:tc>
      </w:tr>
      <w:tr>
        <w:tc>
          <w:tcPr/>
          <w:p>
            <w:pPr>
              <w:pStyle w:val="Compact"/>
              <w:jc w:val="left"/>
            </w:pPr>
            <w:r>
              <w:t xml:space="preserve">MWD</w:t>
            </w:r>
          </w:p>
        </w:tc>
        <w:tc>
          <w:tcPr/>
          <w:p>
            <w:pPr>
              <w:pStyle w:val="Compact"/>
              <w:jc w:val="right"/>
            </w:pPr>
            <w:r>
              <w:t xml:space="preserve">3</w:t>
            </w:r>
          </w:p>
        </w:tc>
      </w:tr>
      <w:tr>
        <w:tc>
          <w:tcPr/>
          <w:p>
            <w:pPr>
              <w:pStyle w:val="Compact"/>
              <w:jc w:val="left"/>
            </w:pPr>
            <w:r>
              <w:t xml:space="preserve">State</w:t>
            </w:r>
          </w:p>
        </w:tc>
        <w:tc>
          <w:tcPr/>
          <w:p>
            <w:pPr>
              <w:pStyle w:val="Compact"/>
              <w:jc w:val="right"/>
            </w:pPr>
            <w:r>
              <w:t xml:space="preserve">3</w:t>
            </w:r>
          </w:p>
        </w:tc>
      </w:tr>
      <w:tr>
        <w:tc>
          <w:tcPr/>
          <w:p>
            <w:pPr>
              <w:pStyle w:val="Compact"/>
              <w:jc w:val="left"/>
            </w:pPr>
            <w:r>
              <w:t xml:space="preserve">Water District</w:t>
            </w:r>
          </w:p>
        </w:tc>
        <w:tc>
          <w:tcPr/>
          <w:p>
            <w:pPr>
              <w:pStyle w:val="Compact"/>
              <w:jc w:val="right"/>
            </w:pPr>
            <w:r>
              <w:t xml:space="preserve">3</w:t>
            </w:r>
          </w:p>
        </w:tc>
      </w:tr>
      <w:tr>
        <w:tc>
          <w:tcPr/>
          <w:p>
            <w:pPr>
              <w:pStyle w:val="Compact"/>
              <w:jc w:val="left"/>
            </w:pPr>
            <w:r>
              <w:t xml:space="preserve">PA</w:t>
            </w:r>
          </w:p>
        </w:tc>
        <w:tc>
          <w:tcPr/>
          <w:p>
            <w:pPr>
              <w:pStyle w:val="Compact"/>
              <w:jc w:val="right"/>
            </w:pPr>
            <w:r>
              <w:t xml:space="preserve">2</w:t>
            </w:r>
          </w:p>
        </w:tc>
      </w:tr>
      <w:tr>
        <w:tc>
          <w:tcPr/>
          <w:p>
            <w:pPr>
              <w:pStyle w:val="Compact"/>
              <w:jc w:val="left"/>
            </w:pPr>
            <w:r>
              <w:t xml:space="preserve">School</w:t>
            </w:r>
          </w:p>
        </w:tc>
        <w:tc>
          <w:tcPr/>
          <w:p>
            <w:pPr>
              <w:pStyle w:val="Compact"/>
              <w:jc w:val="right"/>
            </w:pPr>
            <w:r>
              <w:t xml:space="preserve">2</w:t>
            </w:r>
          </w:p>
        </w:tc>
      </w:tr>
      <w:tr>
        <w:tc>
          <w:tcPr/>
          <w:p>
            <w:pPr>
              <w:pStyle w:val="Compact"/>
              <w:jc w:val="left"/>
            </w:pPr>
            <w:r>
              <w:t xml:space="preserve">Federal</w:t>
            </w:r>
          </w:p>
        </w:tc>
        <w:tc>
          <w:tcPr/>
          <w:p>
            <w:pPr>
              <w:pStyle w:val="Compact"/>
              <w:jc w:val="right"/>
            </w:pPr>
            <w:r>
              <w:t xml:space="preserve">1</w:t>
            </w:r>
          </w:p>
        </w:tc>
      </w:tr>
      <w:tr>
        <w:tc>
          <w:tcPr/>
          <w:p>
            <w:pPr>
              <w:pStyle w:val="Compact"/>
              <w:jc w:val="left"/>
            </w:pPr>
            <w:r>
              <w:t xml:space="preserve">JPA</w:t>
            </w:r>
          </w:p>
        </w:tc>
        <w:tc>
          <w:tcPr/>
          <w:p>
            <w:pPr>
              <w:pStyle w:val="Compact"/>
              <w:jc w:val="right"/>
            </w:pPr>
            <w:r>
              <w:t xml:space="preserve">1</w:t>
            </w:r>
          </w:p>
        </w:tc>
      </w:tr>
      <w:tr>
        <w:tc>
          <w:tcPr/>
          <w:p>
            <w:pPr>
              <w:pStyle w:val="Compact"/>
              <w:jc w:val="left"/>
            </w:pPr>
            <w:r>
              <w:t xml:space="preserve">RCD</w:t>
            </w:r>
          </w:p>
        </w:tc>
        <w:tc>
          <w:tcPr/>
          <w:p>
            <w:pPr>
              <w:pStyle w:val="Compact"/>
              <w:jc w:val="right"/>
            </w:pPr>
            <w:r>
              <w:t xml:space="preserve">1</w:t>
            </w:r>
          </w:p>
        </w:tc>
      </w:tr>
      <w:tr>
        <w:tc>
          <w:tcPr/>
          <w:p>
            <w:pPr>
              <w:pStyle w:val="Compact"/>
              <w:jc w:val="left"/>
            </w:pPr>
            <w:r>
              <w:t xml:space="preserve">Tribal</w:t>
            </w:r>
          </w:p>
        </w:tc>
        <w:tc>
          <w:tcPr/>
          <w:p>
            <w:pPr>
              <w:pStyle w:val="Compact"/>
              <w:jc w:val="right"/>
            </w:pPr>
            <w:r>
              <w:t xml:space="preserve">1</w:t>
            </w:r>
          </w:p>
        </w:tc>
      </w:tr>
    </w:tbl>
    <w:bookmarkEnd w:id="29"/>
    <w:bookmarkStart w:id="30" w:name="Xdaa78bca21034541a89c169d03d6037344f8ff5"/>
    <w:p>
      <w:pPr>
        <w:pStyle w:val="Heading3"/>
      </w:pPr>
      <w:r>
        <w:t xml:space="preserve">Top ten governance change pathways for all consolidations cases (not just CWS)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Change from, to</w:t>
            </w:r>
          </w:p>
        </w:tc>
        <w:tc>
          <w:tcPr/>
          <w:p>
            <w:pPr>
              <w:pStyle w:val="Compact"/>
              <w:jc w:val="right"/>
            </w:pPr>
            <w:r>
              <w:t xml:space="preserve">#</w:t>
            </w:r>
          </w:p>
        </w:tc>
      </w:tr>
      <w:tr>
        <w:tc>
          <w:tcPr/>
          <w:p>
            <w:pPr>
              <w:pStyle w:val="Compact"/>
              <w:jc w:val="left"/>
            </w:pPr>
            <w:r>
              <w:t xml:space="preserve">Private (other) , City</w:t>
            </w:r>
          </w:p>
        </w:tc>
        <w:tc>
          <w:tcPr/>
          <w:p>
            <w:pPr>
              <w:pStyle w:val="Compact"/>
              <w:jc w:val="right"/>
            </w:pPr>
            <w:r>
              <w:t xml:space="preserve">38</w:t>
            </w:r>
          </w:p>
        </w:tc>
      </w:tr>
      <w:tr>
        <w:tc>
          <w:tcPr/>
          <w:p>
            <w:pPr>
              <w:pStyle w:val="Compact"/>
              <w:jc w:val="left"/>
            </w:pPr>
            <w:r>
              <w:t xml:space="preserve">IOU , IOU</w:t>
            </w:r>
          </w:p>
        </w:tc>
        <w:tc>
          <w:tcPr/>
          <w:p>
            <w:pPr>
              <w:pStyle w:val="Compact"/>
              <w:jc w:val="right"/>
            </w:pPr>
            <w:r>
              <w:t xml:space="preserve">18</w:t>
            </w:r>
          </w:p>
        </w:tc>
      </w:tr>
      <w:tr>
        <w:tc>
          <w:tcPr/>
          <w:p>
            <w:pPr>
              <w:pStyle w:val="Compact"/>
              <w:jc w:val="left"/>
            </w:pPr>
            <w:r>
              <w:t xml:space="preserve">MHP , City</w:t>
            </w:r>
          </w:p>
        </w:tc>
        <w:tc>
          <w:tcPr/>
          <w:p>
            <w:pPr>
              <w:pStyle w:val="Compact"/>
              <w:jc w:val="right"/>
            </w:pPr>
            <w:r>
              <w:t xml:space="preserve">11</w:t>
            </w:r>
          </w:p>
        </w:tc>
      </w:tr>
      <w:tr>
        <w:tc>
          <w:tcPr/>
          <w:p>
            <w:pPr>
              <w:pStyle w:val="Compact"/>
              <w:jc w:val="left"/>
            </w:pPr>
            <w:r>
              <w:t xml:space="preserve">Private (other) , IOU</w:t>
            </w:r>
          </w:p>
        </w:tc>
        <w:tc>
          <w:tcPr/>
          <w:p>
            <w:pPr>
              <w:pStyle w:val="Compact"/>
              <w:jc w:val="right"/>
            </w:pPr>
            <w:r>
              <w:t xml:space="preserve">11</w:t>
            </w:r>
          </w:p>
        </w:tc>
      </w:tr>
      <w:tr>
        <w:tc>
          <w:tcPr/>
          <w:p>
            <w:pPr>
              <w:pStyle w:val="Compact"/>
              <w:jc w:val="left"/>
            </w:pPr>
            <w:r>
              <w:t xml:space="preserve">Private (other) , PUD</w:t>
            </w:r>
          </w:p>
        </w:tc>
        <w:tc>
          <w:tcPr/>
          <w:p>
            <w:pPr>
              <w:pStyle w:val="Compact"/>
              <w:jc w:val="right"/>
            </w:pPr>
            <w:r>
              <w:t xml:space="preserve">8</w:t>
            </w:r>
          </w:p>
        </w:tc>
      </w:tr>
      <w:tr>
        <w:tc>
          <w:tcPr/>
          <w:p>
            <w:pPr>
              <w:pStyle w:val="Compact"/>
              <w:jc w:val="left"/>
            </w:pPr>
            <w:r>
              <w:t xml:space="preserve">MHP , CSD</w:t>
            </w:r>
          </w:p>
        </w:tc>
        <w:tc>
          <w:tcPr/>
          <w:p>
            <w:pPr>
              <w:pStyle w:val="Compact"/>
              <w:jc w:val="right"/>
            </w:pPr>
            <w:r>
              <w:t xml:space="preserve">7</w:t>
            </w:r>
          </w:p>
        </w:tc>
      </w:tr>
      <w:tr>
        <w:tc>
          <w:tcPr/>
          <w:p>
            <w:pPr>
              <w:pStyle w:val="Compact"/>
              <w:jc w:val="left"/>
            </w:pPr>
            <w:r>
              <w:t xml:space="preserve">MHP , IOU</w:t>
            </w:r>
          </w:p>
        </w:tc>
        <w:tc>
          <w:tcPr/>
          <w:p>
            <w:pPr>
              <w:pStyle w:val="Compact"/>
              <w:jc w:val="right"/>
            </w:pPr>
            <w:r>
              <w:t xml:space="preserve">5</w:t>
            </w:r>
          </w:p>
        </w:tc>
      </w:tr>
      <w:tr>
        <w:tc>
          <w:tcPr/>
          <w:p>
            <w:pPr>
              <w:pStyle w:val="Compact"/>
              <w:jc w:val="left"/>
            </w:pPr>
            <w:r>
              <w:t xml:space="preserve">MWC , City</w:t>
            </w:r>
          </w:p>
        </w:tc>
        <w:tc>
          <w:tcPr/>
          <w:p>
            <w:pPr>
              <w:pStyle w:val="Compact"/>
              <w:jc w:val="right"/>
            </w:pPr>
            <w:r>
              <w:t xml:space="preserve">5</w:t>
            </w:r>
          </w:p>
        </w:tc>
      </w:tr>
      <w:tr>
        <w:tc>
          <w:tcPr/>
          <w:p>
            <w:pPr>
              <w:pStyle w:val="Compact"/>
              <w:jc w:val="left"/>
            </w:pPr>
            <w:r>
              <w:t xml:space="preserve">City , City</w:t>
            </w:r>
          </w:p>
        </w:tc>
        <w:tc>
          <w:tcPr/>
          <w:p>
            <w:pPr>
              <w:pStyle w:val="Compact"/>
              <w:jc w:val="right"/>
            </w:pPr>
            <w:r>
              <w:t xml:space="preserve">4</w:t>
            </w:r>
          </w:p>
        </w:tc>
      </w:tr>
      <w:tr>
        <w:tc>
          <w:tcPr/>
          <w:p>
            <w:pPr>
              <w:pStyle w:val="Compact"/>
              <w:jc w:val="left"/>
            </w:pPr>
            <w:r>
              <w:t xml:space="preserve">CSA , County Water District</w:t>
            </w:r>
          </w:p>
        </w:tc>
        <w:tc>
          <w:tcPr/>
          <w:p>
            <w:pPr>
              <w:pStyle w:val="Compact"/>
              <w:jc w:val="right"/>
            </w:pPr>
            <w:r>
              <w:t xml:space="preserve">4</w:t>
            </w:r>
          </w:p>
        </w:tc>
      </w:tr>
      <w:tr>
        <w:tc>
          <w:tcPr/>
          <w:p>
            <w:pPr>
              <w:pStyle w:val="Compact"/>
              <w:jc w:val="left"/>
            </w:pPr>
            <w:r>
              <w:t xml:space="preserve">MWC , IOU</w:t>
            </w:r>
          </w:p>
        </w:tc>
        <w:tc>
          <w:tcPr/>
          <w:p>
            <w:pPr>
              <w:pStyle w:val="Compact"/>
              <w:jc w:val="right"/>
            </w:pPr>
            <w:r>
              <w:t xml:space="preserve">4</w:t>
            </w:r>
          </w:p>
        </w:tc>
      </w:tr>
      <w:tr>
        <w:tc>
          <w:tcPr/>
          <w:p>
            <w:pPr>
              <w:pStyle w:val="Compact"/>
              <w:jc w:val="left"/>
            </w:pPr>
            <w:r>
              <w:t xml:space="preserve">Private (other) , County Water District</w:t>
            </w:r>
          </w:p>
        </w:tc>
        <w:tc>
          <w:tcPr/>
          <w:p>
            <w:pPr>
              <w:pStyle w:val="Compact"/>
              <w:jc w:val="right"/>
            </w:pPr>
            <w:r>
              <w:t xml:space="preserve">4</w:t>
            </w:r>
          </w:p>
        </w:tc>
      </w:tr>
      <w:tr>
        <w:tc>
          <w:tcPr/>
          <w:p>
            <w:pPr>
              <w:pStyle w:val="Compact"/>
              <w:jc w:val="left"/>
            </w:pPr>
            <w:r>
              <w:t xml:space="preserve">Private (other) , CSD</w:t>
            </w:r>
          </w:p>
        </w:tc>
        <w:tc>
          <w:tcPr/>
          <w:p>
            <w:pPr>
              <w:pStyle w:val="Compact"/>
              <w:jc w:val="right"/>
            </w:pPr>
            <w:r>
              <w:t xml:space="preserve">4</w:t>
            </w:r>
          </w:p>
        </w:tc>
      </w:tr>
      <w:tr>
        <w:tc>
          <w:tcPr/>
          <w:p>
            <w:pPr>
              <w:pStyle w:val="Compact"/>
              <w:jc w:val="left"/>
            </w:pPr>
            <w:r>
              <w:t xml:space="preserve">State , State</w:t>
            </w:r>
          </w:p>
        </w:tc>
        <w:tc>
          <w:tcPr/>
          <w:p>
            <w:pPr>
              <w:pStyle w:val="Compact"/>
              <w:jc w:val="right"/>
            </w:pPr>
            <w:r>
              <w:t xml:space="preserve">4</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consolidation data set analysis</dc:title>
  <dc:creator>Kristin Dobbin</dc:creator>
  <cp:keywords/>
  <dcterms:created xsi:type="dcterms:W3CDTF">2022-07-01T20:45:00Z</dcterms:created>
  <dcterms:modified xsi:type="dcterms:W3CDTF">2022-07-01T20:45:00Z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6/23/2022</vt:lpwstr>
  </property>
  <property fmtid="{D5CDD505-2E9C-101B-9397-08002B2CF9AE}" pid="3" name="output">
    <vt:lpwstr/>
  </property>
</Properties>
</file>