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</w:t>
      </w:r>
    </w:p>
    <w:p>
      <w:pPr>
        <w:pStyle w:val="BodyText"/>
        <w:bidi w:val="0"/>
        <w:rPr/>
      </w:pPr>
      <w:r>
        <w:rPr/>
        <w:t>Να μη διδαχθεί η υποενότητα «Θεμελιώδεις μορφές ενέργειας» και «Μετατροπές ενέργειας»</w:t>
      </w:r>
    </w:p>
    <w:p>
      <w:pPr>
        <w:pStyle w:val="BodyText"/>
        <w:bidi w:val="0"/>
        <w:rPr>
          <w:b/>
          <w:bCs/>
        </w:rPr>
      </w:pPr>
      <w:r>
        <w:rPr>
          <w:b/>
          <w:bCs/>
        </w:rPr>
        <w:t>5.5 Διατήρηση της ενέργειας</w:t>
      </w:r>
    </w:p>
    <w:p>
      <w:pPr>
        <w:pStyle w:val="BodyText"/>
        <w:bidi w:val="0"/>
        <w:rPr/>
      </w:pPr>
      <w:r>
        <w:rPr/>
        <w:t>Να διδαχθεί (περιληπτικά ενσωματώνοντάς τη στην 5.4 παραγρ.)</w:t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5: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r>
        <w:rPr>
          <w:rStyle w:val="Hyperlink"/>
        </w:rPr>
        <w:t>https://phet.colorado.edu/sims/html/energy-forms-and-changes/latest/energy-forms-and-changes_el.html</w:t>
      </w:r>
    </w:p>
    <w:p>
      <w:pPr>
        <w:pStyle w:val="BodyText"/>
        <w:ind w:hanging="0" w:start="0"/>
        <w:rPr/>
      </w:pPr>
      <w:r>
        <w:rPr>
          <w:rStyle w:val="Hyperlink"/>
        </w:rPr>
        <w:t>https://phet.colorado.edu/sims/html/energy-skate-park-basics/latest/energy-skate-park-basics_el.html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LibreOffice/7.6.2.1$Linux_X86_64 LibreOffice_project/60$Build-1</Application>
  <AppVersion>15.0000</AppVersion>
  <Pages>1</Pages>
  <Words>48</Words>
  <Characters>353</Characters>
  <CharactersWithSpaces>389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2023-11-11T12:57:55Z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