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7DA94">
      <w:pPr>
        <w:pStyle w:val="2"/>
        <w:keepNext w:val="0"/>
        <w:keepLines w:val="0"/>
        <w:widowControl/>
        <w:suppressLineNumbers w:val="0"/>
        <w:rPr>
          <w:rStyle w:val="6"/>
          <w:rFonts w:hint="eastAsia"/>
          <w:lang w:val="en-US" w:eastAsia="zh-CN"/>
        </w:rPr>
      </w:pPr>
      <w:r>
        <w:rPr>
          <w:rStyle w:val="6"/>
          <w:rFonts w:hint="eastAsia"/>
          <w:lang w:val="en-US" w:eastAsia="zh-CN"/>
        </w:rPr>
        <w:t>Release of the Shortlist of the 7th Guangzhou Award</w:t>
      </w:r>
    </w:p>
    <w:p w14:paraId="0E621949">
      <w:pPr>
        <w:pStyle w:val="2"/>
        <w:keepNext w:val="0"/>
        <w:keepLines w:val="0"/>
        <w:widowControl/>
        <w:suppressLineNumbers w:val="0"/>
        <w:rPr>
          <w:rStyle w:val="6"/>
          <w:rFonts w:hint="eastAsia"/>
          <w:lang w:val="en-US" w:eastAsia="zh-CN"/>
        </w:rPr>
      </w:pPr>
      <w:r>
        <w:rPr>
          <w:rStyle w:val="6"/>
          <w:rFonts w:hint="eastAsia"/>
          <w:lang w:val="en-US" w:eastAsia="zh-CN"/>
        </w:rPr>
        <w:t>15 Urban Innovation Initiatives Advance to the Final Stage of the Award</w:t>
      </w:r>
    </w:p>
    <w:p w14:paraId="504C0784">
      <w:pPr>
        <w:rPr>
          <w:rFonts w:hint="eastAsia"/>
          <w:sz w:val="24"/>
          <w:szCs w:val="24"/>
        </w:rPr>
      </w:pPr>
      <w:r>
        <w:rPr>
          <w:rFonts w:hint="eastAsia"/>
          <w:sz w:val="24"/>
          <w:szCs w:val="24"/>
        </w:rPr>
        <w:t xml:space="preserve">On 25 June 2026, during the United Cities and Local Governments (UCLG) World Congress, the shortlist of the 7th Guangzhou International Award for Urban Innovation (Guangzhou Award) was officially released in Tangier, Morocco: 15 urban innovation </w:t>
      </w:r>
      <w:r>
        <w:rPr>
          <w:rFonts w:hint="eastAsia"/>
          <w:sz w:val="24"/>
          <w:szCs w:val="24"/>
          <w:lang w:val="en-US" w:eastAsia="zh-CN"/>
        </w:rPr>
        <w:t>initiatives</w:t>
      </w:r>
      <w:r>
        <w:rPr>
          <w:rFonts w:hint="eastAsia"/>
          <w:sz w:val="24"/>
          <w:szCs w:val="24"/>
        </w:rPr>
        <w:t xml:space="preserve"> were selected for the final evaluation, and another 30 </w:t>
      </w:r>
      <w:r>
        <w:rPr>
          <w:rFonts w:hint="eastAsia"/>
          <w:sz w:val="24"/>
          <w:szCs w:val="24"/>
          <w:lang w:val="en-US" w:eastAsia="zh-CN"/>
        </w:rPr>
        <w:t>initiatives</w:t>
      </w:r>
      <w:r>
        <w:rPr>
          <w:rFonts w:hint="eastAsia"/>
          <w:sz w:val="24"/>
          <w:szCs w:val="24"/>
        </w:rPr>
        <w:t xml:space="preserve"> were included in the expert recommendation list. This year's Guangzhou Award received 381 urban governance innovation initiatives from 248 cities in 60 countries, with both the number of participating cities and initiatives reaching new highs in previous editions.</w:t>
      </w:r>
    </w:p>
    <w:p w14:paraId="66B3DFBD">
      <w:pPr>
        <w:pStyle w:val="2"/>
        <w:keepNext w:val="0"/>
        <w:keepLines w:val="0"/>
        <w:widowControl/>
        <w:suppressLineNumbers w:val="0"/>
        <w:rPr>
          <w:rStyle w:val="7"/>
          <w:highlight w:val="yellow"/>
        </w:rPr>
      </w:pPr>
      <w:r>
        <w:rPr>
          <w:rStyle w:val="7"/>
          <w:highlight w:val="yellow"/>
        </w:rPr>
        <w:t>(P</w:t>
      </w:r>
      <w:r>
        <w:rPr>
          <w:rStyle w:val="7"/>
          <w:rFonts w:hint="eastAsia"/>
          <w:highlight w:val="yellow"/>
          <w:lang w:val="en-US" w:eastAsia="zh-CN"/>
        </w:rPr>
        <w:t>icture</w:t>
      </w:r>
      <w:r>
        <w:rPr>
          <w:rStyle w:val="7"/>
          <w:highlight w:val="yellow"/>
        </w:rPr>
        <w:t xml:space="preserve">: List of 15 shortlisted </w:t>
      </w:r>
      <w:r>
        <w:rPr>
          <w:rStyle w:val="7"/>
          <w:rFonts w:hint="default"/>
          <w:highlight w:val="yellow"/>
          <w:lang w:val="en-US"/>
        </w:rPr>
        <w:t>initiatives</w:t>
      </w:r>
      <w:r>
        <w:rPr>
          <w:rStyle w:val="7"/>
          <w:highlight w:val="yellow"/>
        </w:rPr>
        <w:t>)</w:t>
      </w:r>
    </w:p>
    <w:p w14:paraId="0D33DAFF">
      <w:pPr>
        <w:pStyle w:val="2"/>
        <w:keepNext w:val="0"/>
        <w:keepLines w:val="0"/>
        <w:widowControl/>
        <w:suppressLineNumbers w:val="0"/>
        <w:rPr>
          <w:rFonts w:hint="default"/>
          <w:lang w:val="en-US"/>
        </w:rPr>
      </w:pPr>
      <w:r>
        <w:rPr>
          <w:rFonts w:hint="eastAsia"/>
        </w:rPr>
        <w:t>As an important event held alongside the 2026 UCLG World Congress</w:t>
      </w:r>
      <w:r>
        <w:rPr>
          <w:rFonts w:hint="default"/>
          <w:lang w:val="en-US"/>
        </w:rPr>
        <w:t xml:space="preserve">, </w:t>
      </w:r>
      <w:r>
        <w:rPr>
          <w:rFonts w:hint="eastAsia"/>
        </w:rPr>
        <w:t>the Technical Committee Meeting of the 7th Guangzhou Award was held in Tangier from June 22nd to 25th.</w:t>
      </w:r>
      <w:r>
        <w:rPr>
          <w:rFonts w:hint="default"/>
          <w:lang w:val="en-US"/>
        </w:rPr>
        <w:t xml:space="preserve"> The chair</w:t>
      </w:r>
      <w:r>
        <w:rPr>
          <w:rFonts w:hint="eastAsia"/>
          <w:lang w:val="en-US" w:eastAsia="zh-CN"/>
        </w:rPr>
        <w:t>person</w:t>
      </w:r>
      <w:r>
        <w:rPr>
          <w:rFonts w:hint="default"/>
          <w:lang w:val="en-US"/>
        </w:rPr>
        <w:t xml:space="preserve"> of the Technical Committee, [XX], introduced the evaluation situation at the press conference: The Technical Committee of the 7th Guangzhou Award is composed of 9 international experts from various professional fields. Based on criteria such as innovation, effectiveness, applicability, and influence, and with a focus on examining the relevance of the </w:t>
      </w:r>
      <w:r>
        <w:rPr>
          <w:rFonts w:hint="eastAsia"/>
          <w:sz w:val="24"/>
          <w:szCs w:val="24"/>
        </w:rPr>
        <w:t>initiatives</w:t>
      </w:r>
      <w:r>
        <w:rPr>
          <w:rFonts w:hint="default"/>
          <w:lang w:val="en-US"/>
        </w:rPr>
        <w:t xml:space="preserve"> to the </w:t>
      </w:r>
      <w:r>
        <w:rPr>
          <w:rFonts w:hint="eastAsia"/>
        </w:rPr>
        <w:t>United Nations Sustainable Developm</w:t>
      </w:r>
      <w:r>
        <w:rPr>
          <w:rFonts w:hint="eastAsia"/>
          <w:lang w:val="en-US"/>
        </w:rPr>
        <w:t>ent Goals (SDGs) and the New Urban Agenda (NUA)</w:t>
      </w:r>
      <w:r>
        <w:rPr>
          <w:rFonts w:hint="default"/>
          <w:lang w:val="en-US"/>
        </w:rPr>
        <w:t xml:space="preserve">, 15 shortlisted </w:t>
      </w:r>
      <w:r>
        <w:rPr>
          <w:rFonts w:hint="eastAsia"/>
          <w:lang w:val="en-US"/>
        </w:rPr>
        <w:t>initiatives</w:t>
      </w:r>
      <w:r>
        <w:rPr>
          <w:rFonts w:hint="default"/>
          <w:lang w:val="en-US"/>
        </w:rPr>
        <w:t xml:space="preserve"> and 30 e</w:t>
      </w:r>
      <w:r>
        <w:rPr>
          <w:rFonts w:hint="eastAsia"/>
          <w:lang w:val="en-US"/>
        </w:rPr>
        <w:t xml:space="preserve">xemplary </w:t>
      </w:r>
      <w:r>
        <w:rPr>
          <w:rFonts w:hint="default"/>
          <w:lang w:val="en-US"/>
        </w:rPr>
        <w:t>i</w:t>
      </w:r>
      <w:r>
        <w:rPr>
          <w:rFonts w:hint="eastAsia"/>
          <w:lang w:val="en-US" w:eastAsia="zh-CN"/>
        </w:rPr>
        <w:t>nitiatives</w:t>
      </w:r>
      <w:r>
        <w:rPr>
          <w:rFonts w:hint="default"/>
          <w:lang w:val="en-US"/>
        </w:rPr>
        <w:t xml:space="preserve"> were selected from 381 participating i</w:t>
      </w:r>
      <w:r>
        <w:rPr>
          <w:rFonts w:hint="eastAsia"/>
          <w:lang w:val="en-US" w:eastAsia="zh-CN"/>
        </w:rPr>
        <w:t>nitiatives</w:t>
      </w:r>
      <w:r>
        <w:rPr>
          <w:rFonts w:hint="default"/>
          <w:lang w:val="en-US"/>
        </w:rPr>
        <w:t>. The participating i</w:t>
      </w:r>
      <w:r>
        <w:rPr>
          <w:rFonts w:hint="eastAsia"/>
          <w:lang w:val="en-US" w:eastAsia="zh-CN"/>
        </w:rPr>
        <w:t>nitiatives</w:t>
      </w:r>
      <w:r>
        <w:rPr>
          <w:rFonts w:hint="default"/>
          <w:lang w:val="en-US"/>
        </w:rPr>
        <w:t xml:space="preserve"> cover areas such as digital governance, green and low-carbon development, social inclusion, and public services. Inclusivity development, artificial intelligence and digital governance, and climate resilience have become the prominent themes of this year's i</w:t>
      </w:r>
      <w:r>
        <w:rPr>
          <w:rFonts w:hint="eastAsia"/>
          <w:lang w:val="en-US" w:eastAsia="zh-CN"/>
        </w:rPr>
        <w:t>nitiatives</w:t>
      </w:r>
      <w:r>
        <w:rPr>
          <w:rFonts w:hint="default"/>
          <w:lang w:val="en-US"/>
        </w:rPr>
        <w:t>.</w:t>
      </w:r>
    </w:p>
    <w:p w14:paraId="61398E49">
      <w:pPr>
        <w:pStyle w:val="2"/>
        <w:keepNext w:val="0"/>
        <w:keepLines w:val="0"/>
        <w:widowControl/>
        <w:suppressLineNumbers w:val="0"/>
        <w:rPr>
          <w:rFonts w:hint="default"/>
          <w:color w:val="auto"/>
          <w:lang w:val="en-US"/>
        </w:rPr>
      </w:pPr>
      <w:r>
        <w:rPr>
          <w:rFonts w:hint="eastAsia"/>
          <w:color w:val="auto"/>
        </w:rPr>
        <w:t>Lu Xiangdong, Vice President of the Chinese People's Association for Friendship with Foreign Countries (CPAFFC)</w:t>
      </w:r>
      <w:r>
        <w:rPr>
          <w:rFonts w:hint="default"/>
          <w:color w:val="auto"/>
          <w:lang w:val="en-US"/>
        </w:rPr>
        <w:t xml:space="preserve">; </w:t>
      </w:r>
      <w:r>
        <w:rPr>
          <w:rFonts w:hint="eastAsia"/>
          <w:color w:val="auto"/>
        </w:rPr>
        <w:t>Emilia Saiz, Secretary General of UCLG</w:t>
      </w:r>
      <w:r>
        <w:rPr>
          <w:rFonts w:hint="default"/>
          <w:color w:val="auto"/>
          <w:lang w:val="en-US"/>
        </w:rPr>
        <w:t xml:space="preserve">; </w:t>
      </w:r>
      <w:r>
        <w:rPr>
          <w:rFonts w:hint="eastAsia"/>
          <w:color w:val="auto"/>
        </w:rPr>
        <w:t>Jordi Vaquer, Secretary General of Metropolis</w:t>
      </w:r>
      <w:r>
        <w:rPr>
          <w:rFonts w:hint="default"/>
          <w:color w:val="auto"/>
          <w:lang w:val="en-US"/>
        </w:rPr>
        <w:t xml:space="preserve">; </w:t>
      </w:r>
      <w:r>
        <w:rPr>
          <w:rFonts w:hint="eastAsia"/>
          <w:color w:val="auto"/>
          <w:lang w:val="en-US" w:eastAsia="zh-CN"/>
        </w:rPr>
        <w:t xml:space="preserve">and </w:t>
      </w:r>
      <w:r>
        <w:rPr>
          <w:rFonts w:hint="eastAsia"/>
          <w:color w:val="auto"/>
        </w:rPr>
        <w:t>Hu Hao, Vice Mayor of the Guangzhou Municipal People's Government</w:t>
      </w:r>
      <w:r>
        <w:rPr>
          <w:rFonts w:hint="default"/>
          <w:color w:val="auto"/>
          <w:lang w:val="en-US"/>
        </w:rPr>
        <w:t xml:space="preserve"> attended the launch ceremony and delivered a speech. Representatives from global cities jointly witnessed the release of the shortlist of the 7th Guangzhou Award.</w:t>
      </w:r>
    </w:p>
    <w:p w14:paraId="2ECD7A39">
      <w:pPr>
        <w:pStyle w:val="2"/>
        <w:keepNext w:val="0"/>
        <w:keepLines w:val="0"/>
        <w:widowControl/>
        <w:suppressLineNumbers w:val="0"/>
        <w:rPr>
          <w:rFonts w:hint="default"/>
          <w:color w:val="auto"/>
          <w:lang w:val="en-US" w:eastAsia="zh-CN"/>
        </w:rPr>
      </w:pPr>
      <w:r>
        <w:rPr>
          <w:rFonts w:hint="default"/>
          <w:color w:val="auto"/>
          <w:lang w:val="en-US" w:eastAsia="zh-CN"/>
        </w:rPr>
        <w:t xml:space="preserve">Lu Xiangdong, </w:t>
      </w:r>
      <w:r>
        <w:rPr>
          <w:rFonts w:hint="eastAsia"/>
          <w:color w:val="auto"/>
        </w:rPr>
        <w:t>Emilia Saiz</w:t>
      </w:r>
      <w:r>
        <w:rPr>
          <w:rFonts w:hint="default"/>
          <w:color w:val="auto"/>
          <w:lang w:val="en-US" w:eastAsia="zh-CN"/>
        </w:rPr>
        <w:t xml:space="preserve">, and </w:t>
      </w:r>
      <w:r>
        <w:rPr>
          <w:rFonts w:hint="eastAsia"/>
          <w:color w:val="auto"/>
        </w:rPr>
        <w:t>Jordi Vaquer</w:t>
      </w:r>
      <w:r>
        <w:rPr>
          <w:rFonts w:hint="default"/>
          <w:color w:val="auto"/>
          <w:lang w:val="en-US" w:eastAsia="zh-CN"/>
        </w:rPr>
        <w:t xml:space="preserve"> highly praised the significant role of the Guangzhou Award in promoting exchanges and cooperation among global cities and facilitating the sharing of innovative governance experiences. They expressed their expectations to further deepen international cooperation through the Guangzhou Award platform, promote mutual learning and exchange of innovative practices among more cities, and jointly address the challenges of global urban development.</w:t>
      </w:r>
    </w:p>
    <w:p w14:paraId="3A2F8BA3">
      <w:pPr>
        <w:pStyle w:val="2"/>
        <w:keepNext w:val="0"/>
        <w:keepLines w:val="0"/>
        <w:widowControl/>
        <w:suppressLineNumbers w:val="0"/>
        <w:rPr>
          <w:rFonts w:hint="default"/>
          <w:color w:val="auto"/>
          <w:lang w:val="en-US" w:eastAsia="zh-CN"/>
        </w:rPr>
      </w:pPr>
      <w:r>
        <w:rPr>
          <w:rFonts w:hint="default"/>
          <w:color w:val="auto"/>
          <w:lang w:val="en-US" w:eastAsia="zh-CN"/>
        </w:rPr>
        <w:t xml:space="preserve">Hu Hao stated that since its establishment in 2012, the Guangzhou Award has been dedicated to building a platform for global cities to exchange, learn from each other, and collaborate in innovation. Over the past 14 years, Guangzhou has continuously deepened cooperation with the </w:t>
      </w:r>
      <w:r>
        <w:rPr>
          <w:rFonts w:ascii="Times New Roman" w:hAnsi="Times New Roman" w:eastAsia="宋体" w:cs="Times New Roman"/>
          <w:sz w:val="24"/>
        </w:rPr>
        <w:t>United Cities and Local Governments (UCLG)</w:t>
      </w:r>
      <w:r>
        <w:rPr>
          <w:rFonts w:hint="default"/>
          <w:color w:val="auto"/>
          <w:lang w:val="en-US" w:eastAsia="zh-CN"/>
        </w:rPr>
        <w:t xml:space="preserve"> and </w:t>
      </w:r>
      <w:r>
        <w:rPr>
          <w:rFonts w:ascii="Times New Roman" w:hAnsi="Times New Roman" w:eastAsia="宋体" w:cs="Times New Roman"/>
          <w:sz w:val="24"/>
        </w:rPr>
        <w:t>World Association of the Major Metropolises (Metropolis)</w:t>
      </w:r>
      <w:r>
        <w:rPr>
          <w:rFonts w:hint="default"/>
          <w:color w:val="auto"/>
          <w:lang w:val="en-US" w:eastAsia="zh-CN"/>
        </w:rPr>
        <w:t xml:space="preserve"> through mechanisms such as initiatives collection, award promotion, and experience sharing, promoting the dissemination and exchange of global urban governance innovation achievements. In the future, Guangzhou is willing to continue relying on international cooperation platforms, work together with global partners to deepen practical cooperation, and jointly promote sustainable urban development.</w:t>
      </w:r>
    </w:p>
    <w:p w14:paraId="6B7F8C66">
      <w:pPr>
        <w:pStyle w:val="2"/>
        <w:keepNext w:val="0"/>
        <w:keepLines w:val="0"/>
        <w:widowControl/>
        <w:suppressLineNumbers w:val="0"/>
        <w:rPr>
          <w:rFonts w:hint="default"/>
          <w:color w:val="auto"/>
          <w:lang w:val="en-US" w:eastAsia="zh-CN"/>
        </w:rPr>
      </w:pPr>
      <w:r>
        <w:rPr>
          <w:rFonts w:hint="default"/>
          <w:color w:val="auto"/>
          <w:lang w:val="en-US" w:eastAsia="zh-CN"/>
        </w:rPr>
        <w:t xml:space="preserve">During the initial evaluation period, Hu Hao also met with the experts of the 7th Guangzhou Award Technical Committee and the international advisor of the Guangzhou Award, </w:t>
      </w:r>
      <w:r>
        <w:rPr>
          <w:rFonts w:hint="eastAsia"/>
          <w:color w:val="auto"/>
        </w:rPr>
        <w:t>Nicholas You</w:t>
      </w:r>
      <w:r>
        <w:rPr>
          <w:rFonts w:hint="default"/>
          <w:color w:val="auto"/>
          <w:lang w:val="en-US" w:eastAsia="zh-CN"/>
        </w:rPr>
        <w:t>. On behalf of the Guangzhou Award Organizing Committee, he presented appointment letters to the experts.</w:t>
      </w:r>
    </w:p>
    <w:p w14:paraId="525F1524">
      <w:pPr>
        <w:pStyle w:val="2"/>
        <w:keepNext w:val="0"/>
        <w:keepLines w:val="0"/>
        <w:widowControl/>
        <w:suppressLineNumbers w:val="0"/>
        <w:rPr>
          <w:rStyle w:val="7"/>
          <w:highlight w:val="yellow"/>
        </w:rPr>
      </w:pPr>
      <w:r>
        <w:rPr>
          <w:rStyle w:val="7"/>
          <w:highlight w:val="yellow"/>
        </w:rPr>
        <w:t>(P</w:t>
      </w:r>
      <w:r>
        <w:rPr>
          <w:rStyle w:val="7"/>
          <w:rFonts w:hint="eastAsia"/>
          <w:highlight w:val="yellow"/>
          <w:lang w:val="en-US" w:eastAsia="zh-CN"/>
        </w:rPr>
        <w:t>icture</w:t>
      </w:r>
      <w:r>
        <w:rPr>
          <w:rStyle w:val="7"/>
          <w:highlight w:val="yellow"/>
        </w:rPr>
        <w:t>:</w:t>
      </w:r>
      <w:r>
        <w:rPr>
          <w:rStyle w:val="7"/>
          <w:rFonts w:hint="eastAsia"/>
          <w:highlight w:val="yellow"/>
        </w:rPr>
        <w:t>Group photo of the guests</w:t>
      </w:r>
      <w:r>
        <w:rPr>
          <w:rStyle w:val="7"/>
          <w:highlight w:val="yellow"/>
        </w:rPr>
        <w:t>)</w:t>
      </w:r>
    </w:p>
    <w:p w14:paraId="7335860A">
      <w:pPr>
        <w:jc w:val="left"/>
        <w:rPr>
          <w:rStyle w:val="7"/>
          <w:rFonts w:hint="default" w:ascii="Times New Roman Regular" w:hAnsi="Times New Roman Regular" w:cs="Times New Roman Regular"/>
          <w:i w:val="0"/>
          <w:iCs/>
          <w:sz w:val="24"/>
          <w:szCs w:val="24"/>
          <w:highlight w:val="none"/>
        </w:rPr>
      </w:pPr>
      <w:r>
        <w:rPr>
          <w:rFonts w:hint="default" w:ascii="Times New Roman Regular" w:hAnsi="Times New Roman Regular" w:eastAsia="宋体" w:cs="Times New Roman Regular"/>
          <w:sz w:val="24"/>
          <w:szCs w:val="24"/>
        </w:rPr>
        <w:t>Guangzhou International Award for Urban Innovation</w:t>
      </w:r>
      <w:r>
        <w:rPr>
          <w:rFonts w:hint="default" w:ascii="Times New Roman Regular" w:hAnsi="Times New Roman Regular" w:eastAsia="宋体" w:cs="Times New Roman Regular"/>
          <w:sz w:val="24"/>
          <w:szCs w:val="24"/>
          <w:lang w:val="en-US"/>
        </w:rPr>
        <w:t xml:space="preserve"> (</w:t>
      </w:r>
      <w:r>
        <w:rPr>
          <w:rFonts w:hint="default" w:ascii="Times New Roman Regular" w:hAnsi="Times New Roman Regular" w:eastAsia="宋体" w:cs="Times New Roman Regular"/>
          <w:sz w:val="24"/>
          <w:szCs w:val="24"/>
          <w:lang w:val="en-US" w:eastAsia="zh-CN"/>
        </w:rPr>
        <w:t xml:space="preserve">Guangzhou Award) </w:t>
      </w:r>
      <w:r>
        <w:rPr>
          <w:rStyle w:val="7"/>
          <w:rFonts w:hint="default" w:ascii="Times New Roman Regular" w:hAnsi="Times New Roman Regular" w:cs="Times New Roman Regular"/>
          <w:i w:val="0"/>
          <w:iCs/>
          <w:sz w:val="24"/>
          <w:szCs w:val="24"/>
          <w:highlight w:val="none"/>
        </w:rPr>
        <w:t>was jointly established by</w:t>
      </w:r>
      <w:bookmarkStart w:id="0" w:name="_GoBack"/>
      <w:bookmarkEnd w:id="0"/>
      <w:r>
        <w:rPr>
          <w:rStyle w:val="7"/>
          <w:rFonts w:hint="default" w:ascii="Times New Roman Regular" w:hAnsi="Times New Roman Regular" w:cs="Times New Roman Regular"/>
          <w:i w:val="0"/>
          <w:iCs/>
          <w:sz w:val="24"/>
          <w:szCs w:val="24"/>
          <w:highlight w:val="none"/>
        </w:rPr>
        <w:t xml:space="preserve"> Guangzhou City, </w:t>
      </w:r>
      <w:r>
        <w:rPr>
          <w:rFonts w:ascii="Times New Roman" w:hAnsi="Times New Roman" w:eastAsia="宋体" w:cs="Times New Roman"/>
          <w:sz w:val="24"/>
        </w:rPr>
        <w:t>United Cities and Local Governments (UCLG)</w:t>
      </w:r>
      <w:r>
        <w:rPr>
          <w:rStyle w:val="7"/>
          <w:rFonts w:hint="default" w:ascii="Times New Roman Regular" w:hAnsi="Times New Roman Regular" w:cs="Times New Roman Regular"/>
          <w:i w:val="0"/>
          <w:iCs/>
          <w:sz w:val="24"/>
          <w:szCs w:val="24"/>
          <w:highlight w:val="none"/>
        </w:rPr>
        <w:t xml:space="preserve">, and </w:t>
      </w:r>
      <w:r>
        <w:rPr>
          <w:rFonts w:ascii="Times New Roman" w:hAnsi="Times New Roman" w:eastAsia="宋体" w:cs="Times New Roman"/>
          <w:sz w:val="24"/>
        </w:rPr>
        <w:t>World Association of the Major Metropolises (Metropolis)</w:t>
      </w:r>
      <w:r>
        <w:rPr>
          <w:rStyle w:val="7"/>
          <w:rFonts w:hint="default" w:ascii="Times New Roman Regular" w:hAnsi="Times New Roman Regular" w:cs="Times New Roman Regular"/>
          <w:i w:val="0"/>
          <w:iCs/>
          <w:sz w:val="24"/>
          <w:szCs w:val="24"/>
          <w:highlight w:val="none"/>
        </w:rPr>
        <w:t xml:space="preserve"> in 2012. Its aim is to encourage and promote innovative urban governance practices worldwide, and to facilitate the exchange and mutual learning of experiences among cities. In September 2025, as one of the important agenda items of the 40th anniversary celebration of the World Association of the Major Metropolises (Metropolis) , the global </w:t>
      </w:r>
      <w:r>
        <w:rPr>
          <w:rStyle w:val="7"/>
          <w:rFonts w:hint="default" w:ascii="Times New Roman Regular" w:hAnsi="Times New Roman Regular" w:cs="Times New Roman Regular"/>
          <w:i w:val="0"/>
          <w:iCs/>
          <w:sz w:val="24"/>
          <w:szCs w:val="24"/>
          <w:highlight w:val="none"/>
          <w:lang w:val="en-US"/>
        </w:rPr>
        <w:t>initiatives</w:t>
      </w:r>
      <w:r>
        <w:rPr>
          <w:rStyle w:val="7"/>
          <w:rFonts w:hint="default" w:ascii="Times New Roman Regular" w:hAnsi="Times New Roman Regular" w:cs="Times New Roman Regular"/>
          <w:i w:val="0"/>
          <w:iCs/>
          <w:sz w:val="24"/>
          <w:szCs w:val="24"/>
          <w:highlight w:val="none"/>
        </w:rPr>
        <w:t xml:space="preserve"> solicitation for the 7th Guangzhou Award was officially launched in Seoul, South Korea. It attracted widespread attention and active participation from cities around the world. This year marks the </w:t>
      </w:r>
      <w:r>
        <w:rPr>
          <w:rFonts w:ascii="Times New Roman" w:hAnsi="Times New Roman" w:eastAsia="宋体" w:cs="Times New Roman"/>
          <w:sz w:val="24"/>
        </w:rPr>
        <w:t>UCLG</w:t>
      </w:r>
      <w:r>
        <w:rPr>
          <w:rFonts w:hint="default" w:ascii="Times New Roman" w:hAnsi="Times New Roman" w:eastAsia="宋体" w:cs="Times New Roman"/>
          <w:sz w:val="24"/>
          <w:lang w:val="en-US"/>
        </w:rPr>
        <w:t xml:space="preserve"> </w:t>
      </w:r>
      <w:r>
        <w:rPr>
          <w:rStyle w:val="7"/>
          <w:rFonts w:hint="default" w:ascii="Times New Roman Regular" w:hAnsi="Times New Roman Regular" w:cs="Times New Roman Regular"/>
          <w:i w:val="0"/>
          <w:iCs/>
          <w:sz w:val="24"/>
          <w:szCs w:val="24"/>
          <w:highlight w:val="none"/>
        </w:rPr>
        <w:t>World Congress being held in Tangier, Morocco. The preliminary evaluation activity of the 7th Guangzhou Award was held concurrently, further deepening the linkage and cooperation between the Guangzhou Award and the global urban governance system.</w:t>
      </w:r>
    </w:p>
    <w:p w14:paraId="0C87FCB9">
      <w:pPr>
        <w:pStyle w:val="2"/>
        <w:keepNext w:val="0"/>
        <w:keepLines w:val="0"/>
        <w:widowControl/>
        <w:suppressLineNumbers w:val="0"/>
        <w:rPr>
          <w:rFonts w:hint="eastAsia"/>
        </w:rPr>
      </w:pPr>
      <w:r>
        <w:rPr>
          <w:rFonts w:hint="eastAsia"/>
        </w:rPr>
        <w:t>In December 2026, the 2026 Global Mayors' Forum and the Award Ceremony of the 7th Guangzhou Award will be held in Guangzhou</w:t>
      </w:r>
      <w:r>
        <w:rPr>
          <w:rFonts w:hint="default"/>
          <w:lang w:val="en-US"/>
        </w:rPr>
        <w:t xml:space="preserve">. </w:t>
      </w:r>
      <w:r>
        <w:rPr>
          <w:rFonts w:hint="eastAsia"/>
        </w:rPr>
        <w:t xml:space="preserve">The final list of winning </w:t>
      </w:r>
      <w:r>
        <w:rPr>
          <w:rStyle w:val="7"/>
          <w:rFonts w:hint="default" w:ascii="Times New Roman Regular" w:hAnsi="Times New Roman Regular" w:cs="Times New Roman Regular"/>
          <w:i w:val="0"/>
          <w:iCs/>
          <w:sz w:val="24"/>
          <w:szCs w:val="24"/>
          <w:highlight w:val="none"/>
          <w:lang w:val="en-US"/>
        </w:rPr>
        <w:t>initiatives</w:t>
      </w:r>
      <w:r>
        <w:rPr>
          <w:rFonts w:hint="eastAsia"/>
        </w:rPr>
        <w:t xml:space="preserve"> will be officially announced at that time.</w:t>
      </w:r>
    </w:p>
    <w:p w14:paraId="2988FB7A">
      <w:pPr>
        <w:pStyle w:val="2"/>
        <w:keepNext w:val="0"/>
        <w:keepLines w:val="0"/>
        <w:widowControl/>
        <w:suppressLineNumbers w:val="0"/>
        <w:rPr>
          <w:highlight w:val="yellow"/>
        </w:rPr>
      </w:pPr>
      <w:r>
        <w:rPr>
          <w:rStyle w:val="7"/>
          <w:highlight w:val="yellow"/>
        </w:rPr>
        <w:t>(Appendix: List of Short</w:t>
      </w:r>
      <w:r>
        <w:rPr>
          <w:rStyle w:val="7"/>
          <w:rFonts w:hint="eastAsia"/>
          <w:highlight w:val="yellow"/>
          <w:lang w:val="en-US" w:eastAsia="zh-CN"/>
        </w:rPr>
        <w:t>-</w:t>
      </w:r>
      <w:r>
        <w:rPr>
          <w:rStyle w:val="7"/>
          <w:highlight w:val="yellow"/>
        </w:rPr>
        <w:t xml:space="preserve">listed </w:t>
      </w:r>
      <w:r>
        <w:rPr>
          <w:rStyle w:val="7"/>
          <w:rFonts w:hint="eastAsia"/>
          <w:highlight w:val="yellow"/>
          <w:lang w:val="en-US" w:eastAsia="zh-CN"/>
        </w:rPr>
        <w:t>Initiatives</w:t>
      </w:r>
      <w:r>
        <w:rPr>
          <w:rStyle w:val="7"/>
          <w:highlight w:val="yellow"/>
        </w:rPr>
        <w:t xml:space="preserve"> and </w:t>
      </w:r>
      <w:r>
        <w:rPr>
          <w:rStyle w:val="7"/>
          <w:rFonts w:hint="eastAsia"/>
          <w:highlight w:val="yellow"/>
          <w:lang w:val="en-US" w:eastAsia="zh-CN"/>
        </w:rPr>
        <w:t>E</w:t>
      </w:r>
      <w:r>
        <w:rPr>
          <w:rStyle w:val="7"/>
          <w:rFonts w:hint="eastAsia"/>
          <w:highlight w:val="yellow"/>
        </w:rPr>
        <w:t xml:space="preserve">xemplary </w:t>
      </w:r>
      <w:r>
        <w:rPr>
          <w:rStyle w:val="7"/>
          <w:rFonts w:hint="eastAsia"/>
          <w:highlight w:val="yellow"/>
          <w:lang w:val="en-US" w:eastAsia="zh-CN"/>
        </w:rPr>
        <w:t>Initiatives</w:t>
      </w:r>
      <w:r>
        <w:rPr>
          <w:rStyle w:val="7"/>
          <w:highlight w:val="yellow"/>
        </w:rPr>
        <w:t xml:space="preserve"> for </w:t>
      </w:r>
      <w:r>
        <w:rPr>
          <w:rStyle w:val="7"/>
          <w:rFonts w:hint="eastAsia"/>
          <w:highlight w:val="yellow"/>
          <w:lang w:val="en-US" w:eastAsia="zh-CN"/>
        </w:rPr>
        <w:t xml:space="preserve">the </w:t>
      </w:r>
      <w:r>
        <w:rPr>
          <w:rStyle w:val="7"/>
          <w:highlight w:val="yellow"/>
        </w:rPr>
        <w:t>7th Guangzhou Award)</w:t>
      </w:r>
    </w:p>
    <w:p w14:paraId="4C3EA667">
      <w:pPr>
        <w:pStyle w:val="2"/>
        <w:keepNext w:val="0"/>
        <w:keepLines w:val="0"/>
        <w:widowControl/>
        <w:suppressLineNumbers w:val="0"/>
        <w:rPr>
          <w:rFonts w:hint="eastAsia"/>
        </w:rPr>
      </w:pPr>
    </w:p>
    <w:p w14:paraId="12BBB035">
      <w:pPr>
        <w:pStyle w:val="2"/>
        <w:keepNext w:val="0"/>
        <w:keepLines w:val="0"/>
        <w:widowControl/>
        <w:suppressLineNumbers w:val="0"/>
        <w:rPr>
          <w:rFonts w:hint="default"/>
          <w:color w:val="auto"/>
          <w:lang w:val="en-US" w:eastAsia="zh-CN"/>
        </w:rPr>
      </w:pPr>
    </w:p>
    <w:p w14:paraId="1E5C7DA5">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86"/>
    <w:family w:val="auto"/>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FD0E7A"/>
    <w:rsid w:val="73FD0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2026-06-12T16:31:00Z</dcterms:created>
  <dc:creator>柯月怡</dc:creator>
  <cp:lastModifiedBy>柯月怡</cp:lastModifiedBy>
  <dcterms:modified xsi:type="dcterms:W3CDTF">2026-06-12T17:13:35Z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07A83F42B22BFE36D4C32B6A111457DE_41</vt:lpwstr>
  </property>
</Properties>
</file>