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F5DE3">
      <w:pPr>
        <w:jc w:val="center"/>
        <w:rPr>
          <w:rFonts w:ascii="Times New Roman" w:hAnsi="Times New Roman" w:eastAsia="宋体"/>
          <w:b/>
          <w:bCs/>
          <w:sz w:val="24"/>
        </w:rPr>
      </w:pPr>
      <w:bookmarkStart w:id="0" w:name="_GoBack"/>
      <w:bookmarkEnd w:id="0"/>
      <w:r>
        <w:rPr>
          <w:rFonts w:ascii="Times New Roman" w:hAnsi="Times New Roman" w:eastAsia="宋体"/>
          <w:b/>
          <w:bCs/>
          <w:sz w:val="24"/>
        </w:rPr>
        <w:t>Draft Agenda of Malaysia</w:t>
      </w:r>
    </w:p>
    <w:p w14:paraId="16518298">
      <w:pPr>
        <w:rPr>
          <w:rFonts w:ascii="Times New Roman" w:hAnsi="Times New Roman" w:eastAsia="宋体"/>
          <w:b/>
          <w:bCs/>
          <w:sz w:val="24"/>
        </w:rPr>
      </w:pPr>
      <w:r>
        <w:rPr>
          <w:rFonts w:ascii="Times New Roman" w:hAnsi="Times New Roman" w:eastAsia="宋体"/>
          <w:b/>
          <w:bCs/>
          <w:sz w:val="24"/>
        </w:rPr>
        <w:t>1. Promoting a More Balanced and Secure Development of AI</w:t>
      </w:r>
      <w:r>
        <w:rPr>
          <w:rFonts w:hint="eastAsia" w:ascii="Times New Roman" w:hAnsi="Times New Roman" w:eastAsia="宋体"/>
          <w:b/>
          <w:bCs/>
          <w:sz w:val="24"/>
        </w:rPr>
        <w:t xml:space="preserve"> in ASEAN</w:t>
      </w:r>
    </w:p>
    <w:p w14:paraId="500BAC60">
      <w:pPr>
        <w:rPr>
          <w:rFonts w:ascii="Times New Roman" w:hAnsi="Times New Roman" w:eastAsia="宋体"/>
          <w:sz w:val="24"/>
        </w:rPr>
      </w:pPr>
      <w:r>
        <w:rPr>
          <w:rFonts w:ascii="Times New Roman" w:hAnsi="Times New Roman" w:eastAsia="宋体"/>
          <w:sz w:val="24"/>
        </w:rPr>
        <w:t xml:space="preserve"> 1.1 Promoting More Balanced Development of the AI Industry in ASEAN</w:t>
      </w:r>
    </w:p>
    <w:p w14:paraId="78F46E6A">
      <w:pPr>
        <w:ind w:firstLine="240" w:firstLineChars="100"/>
        <w:rPr>
          <w:rFonts w:ascii="Times New Roman" w:hAnsi="Times New Roman" w:eastAsia="宋体"/>
          <w:sz w:val="24"/>
        </w:rPr>
      </w:pPr>
      <w:r>
        <w:rPr>
          <w:rFonts w:hint="eastAsia" w:ascii="Times New Roman" w:hAnsi="Times New Roman" w:eastAsia="宋体"/>
          <w:sz w:val="24"/>
        </w:rPr>
        <w:t>Southeast Asian countries continue to face significant gaps in independent AI R&amp;D capabilities, infrastructure, and human capital. Therefore, ASEAN should urgently discuss how to promote the diffusion of advanced AI capabilities and practices from more developed Member States while strengthening the independent development capacities of less-developed Member States, thereby ensuring more balanced AI development across the region.</w:t>
      </w:r>
    </w:p>
    <w:p w14:paraId="39813BD6">
      <w:pPr>
        <w:ind w:firstLine="240" w:firstLineChars="100"/>
        <w:rPr>
          <w:rFonts w:ascii="Times New Roman" w:hAnsi="Times New Roman" w:eastAsia="宋体"/>
          <w:sz w:val="24"/>
        </w:rPr>
      </w:pPr>
      <w:r>
        <w:rPr>
          <w:rFonts w:hint="eastAsia" w:ascii="Times New Roman" w:hAnsi="Times New Roman" w:eastAsia="宋体"/>
          <w:sz w:val="24"/>
        </w:rPr>
        <w:t>The development of the AI industry is inherently cross-sectoral and strategic. It simultaneously involves economic development, digital connectivity, investment, trade, industrial policy, education, cybersecurity, data governance, and national competitiveness. No single ASEAN sectoral body can adequately address the entire AI value chain.</w:t>
      </w:r>
    </w:p>
    <w:p w14:paraId="6AE0D0B0">
      <w:pPr>
        <w:ind w:firstLine="240" w:firstLineChars="100"/>
        <w:rPr>
          <w:rFonts w:ascii="Times New Roman" w:hAnsi="Times New Roman" w:eastAsia="宋体"/>
          <w:sz w:val="24"/>
        </w:rPr>
      </w:pPr>
      <w:r>
        <w:rPr>
          <w:rFonts w:hint="eastAsia" w:ascii="Times New Roman" w:hAnsi="Times New Roman" w:eastAsia="宋体"/>
          <w:sz w:val="24"/>
        </w:rPr>
        <w:t>2027 will provide an important policy window. The progress of major regional initiatives in 2026, including the APEC meetings and the signing of the ASEAN Digital Economy Framework Agreement (DEFA), together with the ASEAN Guide on AI Governance and Ethics and the Expanded ASEAN Guide on AI Governance and Ethics-Generative AI, will provide a timely foundation for further discussion on promoting more balanced AI development across ASEAN. Moreover, Singapore will assume the ASEAN Chairmanship in 2027, creating an opportunity to place digital transformation and AI cooperation high on the regional agenda.</w:t>
      </w:r>
    </w:p>
    <w:p w14:paraId="4F63F3F0">
      <w:pPr>
        <w:rPr>
          <w:rFonts w:ascii="Times New Roman" w:hAnsi="Times New Roman" w:eastAsia="宋体"/>
          <w:sz w:val="24"/>
        </w:rPr>
      </w:pPr>
      <w:r>
        <w:rPr>
          <w:rFonts w:ascii="Times New Roman" w:hAnsi="Times New Roman" w:eastAsia="宋体"/>
          <w:sz w:val="24"/>
        </w:rPr>
        <w:t xml:space="preserve"> 1.</w:t>
      </w:r>
      <w:r>
        <w:rPr>
          <w:rFonts w:hint="eastAsia" w:ascii="Times New Roman" w:hAnsi="Times New Roman" w:eastAsia="宋体"/>
          <w:sz w:val="24"/>
        </w:rPr>
        <w:t>2</w:t>
      </w:r>
      <w:r>
        <w:rPr>
          <w:rFonts w:ascii="Times New Roman" w:hAnsi="Times New Roman" w:eastAsia="宋体"/>
          <w:sz w:val="24"/>
        </w:rPr>
        <w:t xml:space="preserve"> Strengthening Collaborative Governance of AI and Digital Security</w:t>
      </w:r>
    </w:p>
    <w:p w14:paraId="38E183A7">
      <w:pPr>
        <w:rPr>
          <w:rFonts w:ascii="Times New Roman" w:hAnsi="Times New Roman" w:eastAsia="宋体"/>
          <w:sz w:val="24"/>
        </w:rPr>
      </w:pPr>
      <w:r>
        <w:rPr>
          <w:rFonts w:ascii="Times New Roman" w:hAnsi="Times New Roman" w:eastAsia="宋体"/>
          <w:sz w:val="24"/>
        </w:rPr>
        <w:t xml:space="preserve"> </w:t>
      </w:r>
      <w:r>
        <w:rPr>
          <w:rFonts w:hint="eastAsia" w:ascii="Times New Roman" w:hAnsi="Times New Roman" w:eastAsia="宋体"/>
          <w:sz w:val="24"/>
        </w:rPr>
        <w:t>ASEAN</w:t>
      </w:r>
      <w:r>
        <w:rPr>
          <w:rFonts w:ascii="Times New Roman" w:hAnsi="Times New Roman" w:eastAsia="宋体"/>
          <w:sz w:val="24"/>
        </w:rPr>
        <w:t>’</w:t>
      </w:r>
      <w:r>
        <w:rPr>
          <w:rFonts w:hint="eastAsia" w:ascii="Times New Roman" w:hAnsi="Times New Roman" w:eastAsia="宋体"/>
          <w:sz w:val="24"/>
        </w:rPr>
        <w:t xml:space="preserve"> s rapidly integrating digital economy is outpacing individual national laws, creating significant enforcement gaps. Global tech platforms naturally tend toward monopolistic structures, giving a few giant players substantial market power. At the same time, fragmented laws leave citizens vulnerable to cross-border data breaches, unchecked AI risks such as deepfakes and disinformation, and complex cyber scam networks operating across borders.</w:t>
      </w:r>
    </w:p>
    <w:p w14:paraId="7E072C44">
      <w:pPr>
        <w:ind w:firstLine="240" w:firstLineChars="100"/>
        <w:rPr>
          <w:rFonts w:ascii="Times New Roman" w:hAnsi="Times New Roman" w:eastAsia="宋体"/>
          <w:sz w:val="24"/>
        </w:rPr>
      </w:pPr>
      <w:r>
        <w:rPr>
          <w:rFonts w:hint="eastAsia" w:ascii="Times New Roman" w:hAnsi="Times New Roman" w:eastAsia="宋体"/>
          <w:sz w:val="24"/>
        </w:rPr>
        <w:t>Regulating global digital giants and addressing cross-border threats requires cross-sectoral coordination among trade, security, justice, and technology ministries—something individual sectoral meetings cannot mandate. Furthermore, a single country acting alone lacks bargaining power and risks platforms shutting down services. Negotiating together as a 680-million-person bloc gives ASEAN leaders the collective political leverage needed to enforce rules on Big Tech and mandate joint law-enforcement efforts.</w:t>
      </w:r>
    </w:p>
    <w:p w14:paraId="0FF8AB82">
      <w:pPr>
        <w:ind w:firstLine="240" w:firstLineChars="100"/>
        <w:rPr>
          <w:rFonts w:ascii="Times New Roman" w:hAnsi="Times New Roman" w:eastAsia="宋体"/>
          <w:sz w:val="24"/>
        </w:rPr>
      </w:pPr>
      <w:r>
        <w:rPr>
          <w:rFonts w:hint="eastAsia" w:ascii="Times New Roman" w:hAnsi="Times New Roman" w:eastAsia="宋体"/>
          <w:sz w:val="24"/>
        </w:rPr>
        <w:t>The first half of 2027 represents an ideal milestone for a Summit-level decision because, first, it marks the natural policy evolution following the conclusion of the ASEAN Digital Integration Framework Action Plan (DIFAP) 2019–2025, which laid foundational building blocks such as cross-border data flows and e-commerce guidelines; second, this timeframe directly aligns with the operational rollout of the ASEAN Digital Economy Framework Agreement (DEFA), ensuring that high-level consensus on digital competition, anti-monopoly investigations, and AI ethics is established before regional markets fully integrate; and third, urgent gaps around weaponized AI deepfakes, transnational scam networks, and platform monopolies that require an immediate, updated decision from ASEAN Leaders</w:t>
      </w:r>
      <w:r>
        <w:rPr>
          <w:rFonts w:ascii="Times New Roman" w:hAnsi="Times New Roman" w:eastAsia="宋体"/>
          <w:sz w:val="24"/>
        </w:rPr>
        <w:t>.</w:t>
      </w:r>
    </w:p>
    <w:p w14:paraId="6F1ECFCC">
      <w:pPr>
        <w:rPr>
          <w:rFonts w:ascii="Times New Roman" w:hAnsi="Times New Roman" w:eastAsia="宋体"/>
          <w:b/>
          <w:bCs/>
          <w:sz w:val="24"/>
        </w:rPr>
      </w:pPr>
      <w:r>
        <w:rPr>
          <w:rFonts w:ascii="Times New Roman" w:hAnsi="Times New Roman" w:eastAsia="宋体"/>
          <w:b/>
          <w:bCs/>
          <w:sz w:val="24"/>
        </w:rPr>
        <w:t>2. Addressing Cross-Border Non-Traditional Security Challenges</w:t>
      </w:r>
    </w:p>
    <w:p w14:paraId="0C16C6F7">
      <w:pPr>
        <w:rPr>
          <w:rFonts w:ascii="Times New Roman" w:hAnsi="Times New Roman" w:eastAsia="宋体"/>
          <w:sz w:val="24"/>
        </w:rPr>
      </w:pPr>
      <w:r>
        <w:rPr>
          <w:rFonts w:ascii="Times New Roman" w:hAnsi="Times New Roman" w:eastAsia="宋体"/>
          <w:sz w:val="24"/>
        </w:rPr>
        <w:t xml:space="preserve"> 2.1 Combating Cyber Fraud and Online Scams</w:t>
      </w:r>
    </w:p>
    <w:p w14:paraId="64846FC3">
      <w:pPr>
        <w:ind w:firstLine="240" w:firstLineChars="100"/>
        <w:rPr>
          <w:rFonts w:ascii="Times New Roman" w:hAnsi="Times New Roman" w:eastAsia="宋体"/>
          <w:sz w:val="24"/>
        </w:rPr>
      </w:pPr>
      <w:r>
        <w:rPr>
          <w:rFonts w:hint="eastAsia" w:ascii="Times New Roman" w:hAnsi="Times New Roman" w:eastAsia="宋体"/>
          <w:sz w:val="24"/>
        </w:rPr>
        <w:t xml:space="preserve">Cyber fraud in Southeast Asia has scaled into an industrial-scale, multi-billion-dollar form of transnational organized crime (TOC). Crucially, the issue has transformed into a major human security crisis, as these operations rely on human trafficking and forced labor to staff scam </w:t>
      </w:r>
      <w:r>
        <w:rPr>
          <w:rFonts w:ascii="Times New Roman" w:hAnsi="Times New Roman" w:eastAsia="宋体"/>
          <w:sz w:val="24"/>
        </w:rPr>
        <w:t>centers</w:t>
      </w:r>
      <w:r>
        <w:rPr>
          <w:rFonts w:hint="eastAsia" w:ascii="Times New Roman" w:hAnsi="Times New Roman" w:eastAsia="宋体"/>
          <w:sz w:val="24"/>
        </w:rPr>
        <w:t>. Regional transit corridors, porous borders, and financial infrastructures are continuously exploited to move both trafficked victims and illicit proceeds, making this a shared regional threat rather than an isolated domestic problem.</w:t>
      </w:r>
    </w:p>
    <w:p w14:paraId="3F39C5A5">
      <w:pPr>
        <w:ind w:firstLine="240" w:firstLineChars="100"/>
        <w:rPr>
          <w:rFonts w:hint="eastAsia" w:ascii="Times New Roman" w:hAnsi="Times New Roman" w:eastAsia="宋体"/>
          <w:sz w:val="24"/>
        </w:rPr>
      </w:pPr>
      <w:r>
        <w:rPr>
          <w:rFonts w:hint="eastAsia" w:ascii="Times New Roman" w:hAnsi="Times New Roman" w:eastAsia="宋体"/>
          <w:sz w:val="24"/>
        </w:rPr>
        <w:t xml:space="preserve">Neutralizing cross-border scam networks requires navigating delicate matters of national sovereignty, border administration, and regional geopolitical balances that extend far beyond the technical mandates of individual ministerial bodies, such as law-enforcement or digital-economy ministries. Because these syndicates strategically establish operations in borderlands, special economic zones, and jurisdictions with weak governance, effective intervention demands consensus among Heads of State in ASEAN summit. </w:t>
      </w:r>
    </w:p>
    <w:p w14:paraId="4E1AA7C4">
      <w:pPr>
        <w:ind w:firstLine="240" w:firstLineChars="100"/>
        <w:rPr>
          <w:rFonts w:ascii="Times New Roman" w:hAnsi="Times New Roman" w:eastAsia="宋体"/>
          <w:sz w:val="24"/>
        </w:rPr>
      </w:pPr>
      <w:r>
        <w:rPr>
          <w:rFonts w:hint="eastAsia" w:ascii="Times New Roman" w:hAnsi="Times New Roman" w:eastAsia="宋体"/>
          <w:sz w:val="24"/>
        </w:rPr>
        <w:t>By early 2027, regional strategies, such as the ASEAN Cybersecurity Cooperation Strategy</w:t>
      </w:r>
      <w:r>
        <w:rPr>
          <w:rFonts w:ascii="Times New Roman" w:hAnsi="Times New Roman" w:eastAsia="宋体"/>
          <w:sz w:val="24"/>
        </w:rPr>
        <w:t>（2026-2030</w:t>
      </w:r>
      <w:r>
        <w:rPr>
          <w:rFonts w:hint="eastAsia" w:ascii="Times New Roman" w:hAnsi="Times New Roman" w:eastAsia="宋体"/>
          <w:sz w:val="24"/>
        </w:rPr>
        <w:t>）and mid-term evaluations of cross-border trafficking plans—will yield critical implementation data to assess which measures actually work. Past ad hoc crackdowns and fragmented bilateral efforts have failed, merely displacing scam syndicates across borders rather than dismantling them. Escalating digital fraud increasingly threatens regional economic stability and public trust.</w:t>
      </w:r>
    </w:p>
    <w:p w14:paraId="2B6C0F08">
      <w:pPr>
        <w:rPr>
          <w:rFonts w:ascii="Times New Roman" w:hAnsi="Times New Roman" w:eastAsia="宋体"/>
          <w:sz w:val="24"/>
        </w:rPr>
      </w:pPr>
      <w:r>
        <w:rPr>
          <w:rFonts w:ascii="Times New Roman" w:hAnsi="Times New Roman" w:eastAsia="宋体"/>
          <w:sz w:val="24"/>
        </w:rPr>
        <w:t xml:space="preserve"> 2.</w:t>
      </w:r>
      <w:r>
        <w:rPr>
          <w:rFonts w:hint="eastAsia" w:ascii="Times New Roman" w:hAnsi="Times New Roman" w:eastAsia="宋体"/>
          <w:sz w:val="24"/>
        </w:rPr>
        <w:t>2</w:t>
      </w:r>
      <w:r>
        <w:rPr>
          <w:rFonts w:ascii="Times New Roman" w:hAnsi="Times New Roman" w:eastAsia="宋体"/>
          <w:sz w:val="24"/>
        </w:rPr>
        <w:t xml:space="preserve"> Strengthening Regional Supply Chain Security</w:t>
      </w:r>
    </w:p>
    <w:p w14:paraId="701F13BF">
      <w:pPr>
        <w:ind w:firstLine="240" w:firstLineChars="100"/>
        <w:rPr>
          <w:rFonts w:ascii="Times New Roman" w:hAnsi="Times New Roman" w:eastAsia="宋体"/>
          <w:sz w:val="24"/>
        </w:rPr>
      </w:pPr>
      <w:r>
        <w:rPr>
          <w:rFonts w:hint="eastAsia" w:ascii="Times New Roman" w:hAnsi="Times New Roman" w:eastAsia="宋体"/>
          <w:sz w:val="24"/>
        </w:rPr>
        <w:t>In the post-pandemic era, Southeast Asian supply chains face external geopolitical risks (tariff barriers and export controls), internal logistics and customs bottlenecks, and significant vulnerabilities in key industries (semiconductors, green energy, and critical minerals). Maritime smuggling and logistics disruptions in the Red Sea and South China Sea further threaten regional stability.</w:t>
      </w:r>
    </w:p>
    <w:p w14:paraId="1B8B81D0">
      <w:pPr>
        <w:ind w:firstLine="240" w:firstLineChars="100"/>
        <w:rPr>
          <w:rFonts w:ascii="Times New Roman" w:hAnsi="Times New Roman" w:eastAsia="宋体"/>
          <w:sz w:val="24"/>
        </w:rPr>
      </w:pPr>
      <w:r>
        <w:rPr>
          <w:rFonts w:hint="eastAsia" w:ascii="Times New Roman" w:hAnsi="Times New Roman" w:eastAsia="宋体"/>
          <w:sz w:val="24"/>
        </w:rPr>
        <w:t xml:space="preserve">While the AEM focuses on trade, transportation, and logistics, supply chain security is a geo-economic combination of economic security and geopolitical </w:t>
      </w:r>
      <w:r>
        <w:rPr>
          <w:rFonts w:ascii="Times New Roman" w:hAnsi="Times New Roman" w:eastAsia="宋体"/>
          <w:sz w:val="24"/>
        </w:rPr>
        <w:t>defense</w:t>
      </w:r>
      <w:r>
        <w:rPr>
          <w:rFonts w:hint="eastAsia" w:ascii="Times New Roman" w:hAnsi="Times New Roman" w:eastAsia="宋体"/>
          <w:sz w:val="24"/>
        </w:rPr>
        <w:t>. It involves national strategic industrial planning, foreign investment access, and collective resistance to external economic coercion, requiring high-level strategic leadership to project ASEAN as a resilient, politically neutral hub.</w:t>
      </w:r>
    </w:p>
    <w:p w14:paraId="2AEDD227">
      <w:pPr>
        <w:ind w:firstLine="240" w:firstLineChars="100"/>
        <w:rPr>
          <w:rFonts w:ascii="Times New Roman" w:hAnsi="Times New Roman" w:eastAsia="宋体"/>
          <w:sz w:val="24"/>
        </w:rPr>
      </w:pPr>
      <w:r>
        <w:rPr>
          <w:rFonts w:hint="eastAsia" w:ascii="Times New Roman" w:hAnsi="Times New Roman" w:eastAsia="宋体"/>
          <w:sz w:val="24"/>
        </w:rPr>
        <w:t xml:space="preserve">First, the full review of MPAC 2025 and FASER Phase-1, alongside the 2026 semiconductor and food-standard rollouts, provides a solid institutional basis for codifying pilot outcomes into the Post-2025 Strategy. Second, worsening protectionism and supply shocks urgently require leaders to upgrade emergency coordination into an institutionalized regional economic </w:t>
      </w:r>
      <w:r>
        <w:rPr>
          <w:rFonts w:ascii="Times New Roman" w:hAnsi="Times New Roman" w:eastAsia="宋体"/>
          <w:sz w:val="24"/>
        </w:rPr>
        <w:t>defense</w:t>
      </w:r>
      <w:r>
        <w:rPr>
          <w:rFonts w:hint="eastAsia" w:ascii="Times New Roman" w:hAnsi="Times New Roman" w:eastAsia="宋体"/>
          <w:sz w:val="24"/>
        </w:rPr>
        <w:t xml:space="preserve"> mechanism.</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465"/>
    <w:rsid w:val="00004D9A"/>
    <w:rsid w:val="00006A5C"/>
    <w:rsid w:val="00024244"/>
    <w:rsid w:val="00031A41"/>
    <w:rsid w:val="000355C8"/>
    <w:rsid w:val="00040C14"/>
    <w:rsid w:val="00047165"/>
    <w:rsid w:val="00090E68"/>
    <w:rsid w:val="00091437"/>
    <w:rsid w:val="000934B7"/>
    <w:rsid w:val="000B712C"/>
    <w:rsid w:val="000E0213"/>
    <w:rsid w:val="00132790"/>
    <w:rsid w:val="00146D9D"/>
    <w:rsid w:val="001508B8"/>
    <w:rsid w:val="00163854"/>
    <w:rsid w:val="001856FB"/>
    <w:rsid w:val="00186F51"/>
    <w:rsid w:val="001A1285"/>
    <w:rsid w:val="001E0DF3"/>
    <w:rsid w:val="001E2F78"/>
    <w:rsid w:val="001E79F7"/>
    <w:rsid w:val="001F6512"/>
    <w:rsid w:val="0020697F"/>
    <w:rsid w:val="002434DA"/>
    <w:rsid w:val="0024732F"/>
    <w:rsid w:val="0025719C"/>
    <w:rsid w:val="00267D7C"/>
    <w:rsid w:val="00282D39"/>
    <w:rsid w:val="00286C1A"/>
    <w:rsid w:val="002941DE"/>
    <w:rsid w:val="00297027"/>
    <w:rsid w:val="002A5209"/>
    <w:rsid w:val="002B5737"/>
    <w:rsid w:val="002E2A79"/>
    <w:rsid w:val="00310482"/>
    <w:rsid w:val="003273DE"/>
    <w:rsid w:val="003303ED"/>
    <w:rsid w:val="00347C0A"/>
    <w:rsid w:val="00355513"/>
    <w:rsid w:val="00357032"/>
    <w:rsid w:val="00383CDC"/>
    <w:rsid w:val="00385FCF"/>
    <w:rsid w:val="00395DFF"/>
    <w:rsid w:val="003D5261"/>
    <w:rsid w:val="003F6B5D"/>
    <w:rsid w:val="00401A4C"/>
    <w:rsid w:val="00410665"/>
    <w:rsid w:val="004112D6"/>
    <w:rsid w:val="00442E08"/>
    <w:rsid w:val="004577C8"/>
    <w:rsid w:val="0047203A"/>
    <w:rsid w:val="00491E28"/>
    <w:rsid w:val="0049459B"/>
    <w:rsid w:val="004A0F49"/>
    <w:rsid w:val="004C078C"/>
    <w:rsid w:val="004E3121"/>
    <w:rsid w:val="004E54CD"/>
    <w:rsid w:val="0051638D"/>
    <w:rsid w:val="00550404"/>
    <w:rsid w:val="00567D4D"/>
    <w:rsid w:val="005A639D"/>
    <w:rsid w:val="005E3A4E"/>
    <w:rsid w:val="005E4695"/>
    <w:rsid w:val="005F7C88"/>
    <w:rsid w:val="006038F6"/>
    <w:rsid w:val="00636F86"/>
    <w:rsid w:val="00650FDB"/>
    <w:rsid w:val="00655742"/>
    <w:rsid w:val="00660DD8"/>
    <w:rsid w:val="00667037"/>
    <w:rsid w:val="006971E0"/>
    <w:rsid w:val="006D0590"/>
    <w:rsid w:val="006D1CAA"/>
    <w:rsid w:val="006F0C8D"/>
    <w:rsid w:val="007430FC"/>
    <w:rsid w:val="00750CEB"/>
    <w:rsid w:val="00767E58"/>
    <w:rsid w:val="007D01F9"/>
    <w:rsid w:val="007D4C01"/>
    <w:rsid w:val="00834752"/>
    <w:rsid w:val="008535CE"/>
    <w:rsid w:val="00857646"/>
    <w:rsid w:val="00894C41"/>
    <w:rsid w:val="00896DA3"/>
    <w:rsid w:val="008B3396"/>
    <w:rsid w:val="008B427B"/>
    <w:rsid w:val="008C3E3D"/>
    <w:rsid w:val="008C51BC"/>
    <w:rsid w:val="008E0A62"/>
    <w:rsid w:val="008F58ED"/>
    <w:rsid w:val="00900FCB"/>
    <w:rsid w:val="009059C8"/>
    <w:rsid w:val="009071A5"/>
    <w:rsid w:val="00921939"/>
    <w:rsid w:val="0092355A"/>
    <w:rsid w:val="00966308"/>
    <w:rsid w:val="0097686E"/>
    <w:rsid w:val="009850B5"/>
    <w:rsid w:val="00985DE8"/>
    <w:rsid w:val="009904FA"/>
    <w:rsid w:val="00993D5D"/>
    <w:rsid w:val="00995491"/>
    <w:rsid w:val="009B56E5"/>
    <w:rsid w:val="009B6567"/>
    <w:rsid w:val="009C34BF"/>
    <w:rsid w:val="009D30EF"/>
    <w:rsid w:val="009E758E"/>
    <w:rsid w:val="009F69F0"/>
    <w:rsid w:val="00A121AC"/>
    <w:rsid w:val="00A144CE"/>
    <w:rsid w:val="00A238AB"/>
    <w:rsid w:val="00A37A85"/>
    <w:rsid w:val="00A42E32"/>
    <w:rsid w:val="00A47465"/>
    <w:rsid w:val="00A50B2E"/>
    <w:rsid w:val="00A54F59"/>
    <w:rsid w:val="00A633CC"/>
    <w:rsid w:val="00A66B65"/>
    <w:rsid w:val="00AA2D6D"/>
    <w:rsid w:val="00AC7BE5"/>
    <w:rsid w:val="00AD172C"/>
    <w:rsid w:val="00AD2C61"/>
    <w:rsid w:val="00AE6D09"/>
    <w:rsid w:val="00AF2866"/>
    <w:rsid w:val="00AF297B"/>
    <w:rsid w:val="00B30282"/>
    <w:rsid w:val="00B34723"/>
    <w:rsid w:val="00B46A3C"/>
    <w:rsid w:val="00B516E8"/>
    <w:rsid w:val="00B56D3C"/>
    <w:rsid w:val="00B60F95"/>
    <w:rsid w:val="00B715BA"/>
    <w:rsid w:val="00B77034"/>
    <w:rsid w:val="00BB0F22"/>
    <w:rsid w:val="00BB6F22"/>
    <w:rsid w:val="00C272BC"/>
    <w:rsid w:val="00C2761B"/>
    <w:rsid w:val="00C31D4E"/>
    <w:rsid w:val="00C44C9B"/>
    <w:rsid w:val="00C57277"/>
    <w:rsid w:val="00C64642"/>
    <w:rsid w:val="00C71F89"/>
    <w:rsid w:val="00C907F8"/>
    <w:rsid w:val="00CA352E"/>
    <w:rsid w:val="00CE5D2D"/>
    <w:rsid w:val="00CF60A7"/>
    <w:rsid w:val="00D47195"/>
    <w:rsid w:val="00D64CC6"/>
    <w:rsid w:val="00D77F45"/>
    <w:rsid w:val="00D814BF"/>
    <w:rsid w:val="00D91212"/>
    <w:rsid w:val="00D91D2F"/>
    <w:rsid w:val="00D97961"/>
    <w:rsid w:val="00DB3158"/>
    <w:rsid w:val="00DE02A6"/>
    <w:rsid w:val="00DE584C"/>
    <w:rsid w:val="00DF1901"/>
    <w:rsid w:val="00DF5857"/>
    <w:rsid w:val="00E005F8"/>
    <w:rsid w:val="00E02F76"/>
    <w:rsid w:val="00E16A32"/>
    <w:rsid w:val="00E37C3A"/>
    <w:rsid w:val="00E438E0"/>
    <w:rsid w:val="00E45C5B"/>
    <w:rsid w:val="00E539F8"/>
    <w:rsid w:val="00E545BC"/>
    <w:rsid w:val="00E608E9"/>
    <w:rsid w:val="00E75DC4"/>
    <w:rsid w:val="00E843B6"/>
    <w:rsid w:val="00EB147B"/>
    <w:rsid w:val="00EB2150"/>
    <w:rsid w:val="00EC5DAD"/>
    <w:rsid w:val="00EC7DCE"/>
    <w:rsid w:val="00EE4612"/>
    <w:rsid w:val="00EF1D6B"/>
    <w:rsid w:val="00F00B29"/>
    <w:rsid w:val="00F17301"/>
    <w:rsid w:val="00F308C8"/>
    <w:rsid w:val="00F36569"/>
    <w:rsid w:val="00F47F91"/>
    <w:rsid w:val="00F90A84"/>
    <w:rsid w:val="00F91FBC"/>
    <w:rsid w:val="00F944E3"/>
    <w:rsid w:val="00FB115C"/>
    <w:rsid w:val="00FB4E9C"/>
    <w:rsid w:val="00FC4C4A"/>
    <w:rsid w:val="00FD083A"/>
    <w:rsid w:val="00FE6E08"/>
    <w:rsid w:val="00FF4AC1"/>
    <w:rsid w:val="00FF5C56"/>
    <w:rsid w:val="5AB23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829</Words>
  <Characters>5397</Characters>
  <Lines>83</Lines>
  <Paragraphs>20</Paragraphs>
  <TotalTime>143</TotalTime>
  <ScaleCrop>false</ScaleCrop>
  <LinksUpToDate>false</LinksUpToDate>
  <CharactersWithSpaces>6203</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2026-08-19T13:38:00Z</dcterms:created>
  <dc:creator>浩 刘</dc:creator>
  <cp:lastModifiedBy>柯月怡</cp:lastModifiedBy>
  <cp:lastPrinted>2026-08-19T15:48:00Z</cp:lastPrinted>
  <dcterms:modified xsi:type="dcterms:W3CDTF">2026-10-15T09:20:06Z</dcterms:modified>
  <cp:revision>331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8B4B167C01FB4FD2A14F584F033C70FA_13</vt:lpwstr>
  </property>
</Properties>
</file>