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9CA93">
      <w:pPr>
        <w:jc w:val="center"/>
        <w:rPr>
          <w:rFonts w:ascii="Times New Roman" w:hAnsi="Times New Roman" w:eastAsia="宋体"/>
          <w:sz w:val="24"/>
        </w:rPr>
      </w:pPr>
      <w:bookmarkStart w:id="0" w:name="_GoBack"/>
      <w:bookmarkEnd w:id="0"/>
      <w:r>
        <w:rPr>
          <w:rFonts w:hint="eastAsia" w:ascii="Times New Roman" w:hAnsi="Times New Roman" w:eastAsia="宋体"/>
          <w:b/>
          <w:bCs/>
          <w:sz w:val="24"/>
        </w:rPr>
        <w:t>Position Paper of Malaysia</w:t>
      </w:r>
    </w:p>
    <w:p w14:paraId="2B9C7950">
      <w:pPr>
        <w:rPr>
          <w:rFonts w:ascii="Times New Roman" w:hAnsi="Times New Roman" w:eastAsia="宋体"/>
          <w:sz w:val="24"/>
        </w:rPr>
      </w:pPr>
      <w:r>
        <w:rPr>
          <w:rFonts w:ascii="Times New Roman" w:hAnsi="Times New Roman" w:eastAsia="宋体"/>
          <w:sz w:val="24"/>
        </w:rPr>
        <w:br w:type="textWrapping"/>
      </w:r>
      <w:r>
        <w:rPr>
          <w:rFonts w:hint="default" w:ascii="Times New Roman Bold" w:hAnsi="Times New Roman Bold" w:eastAsia="宋体" w:cs="Times New Roman Bold"/>
          <w:b/>
          <w:bCs/>
          <w:sz w:val="24"/>
          <w:lang w:val="en-US"/>
        </w:rPr>
        <w:t>1. Background</w:t>
      </w:r>
      <w:r>
        <w:rPr>
          <w:rFonts w:ascii="Times New Roman" w:hAnsi="Times New Roman" w:eastAsia="宋体"/>
          <w:sz w:val="24"/>
        </w:rPr>
        <w:br w:type="textWrapping"/>
      </w:r>
      <w:r>
        <w:rPr>
          <w:rFonts w:ascii="Times New Roman" w:hAnsi="Times New Roman" w:eastAsia="宋体"/>
          <w:sz w:val="24"/>
        </w:rPr>
        <w:t xml:space="preserve">The ASEAN digital economy is at an inflection point. DEFA unlocks significant economic opportunities, yet three interconnected challenges threaten inclusive and secure implementation. First, uneven digital and AI readiness across member states slows practical roll-out and risks widening the development gap. Second, </w:t>
      </w:r>
      <w:r>
        <w:rPr>
          <w:rFonts w:hint="eastAsia" w:ascii="Times New Roman" w:hAnsi="Times New Roman" w:eastAsia="宋体"/>
          <w:sz w:val="24"/>
        </w:rPr>
        <w:t>the region’s energy demand expected to increase 2.6 times by 2050</w:t>
      </w:r>
      <w:r>
        <w:rPr>
          <w:rFonts w:ascii="Times New Roman" w:hAnsi="Times New Roman" w:eastAsia="宋体"/>
          <w:sz w:val="24"/>
        </w:rPr>
        <w:t>,</w:t>
      </w:r>
      <w:r>
        <w:rPr>
          <w:rStyle w:val="19"/>
          <w:rFonts w:ascii="Times New Roman" w:hAnsi="Times New Roman" w:eastAsia="宋体"/>
          <w:sz w:val="24"/>
        </w:rPr>
        <w:footnoteReference w:id="0"/>
      </w:r>
      <w:r>
        <w:rPr>
          <w:rFonts w:ascii="Times New Roman" w:hAnsi="Times New Roman" w:eastAsia="宋体"/>
          <w:sz w:val="24"/>
        </w:rPr>
        <w:t xml:space="preserve"> exposing energy supply chains to geopolitical risks and logistics bottlenecks.</w:t>
      </w:r>
      <w:r>
        <w:rPr>
          <w:rFonts w:hint="default" w:ascii="Times New Roman" w:hAnsi="Times New Roman" w:eastAsia="宋体"/>
          <w:sz w:val="24"/>
          <w:lang w:val="en-US"/>
        </w:rPr>
        <w:t xml:space="preserve"> </w:t>
      </w:r>
      <w:r>
        <w:rPr>
          <w:rFonts w:ascii="Times New Roman" w:hAnsi="Times New Roman" w:eastAsia="宋体"/>
          <w:sz w:val="24"/>
        </w:rPr>
        <w:t>Third, transnational cyber fraud has evolved into a multibillion-dollar organized crime intertwined with human trafficking and forced labor, constituting a severe human security crisis. Malaysia particularly cares about three sub-areas: inclusive digital and AI infrastructure, energy–digital synergy, and cybersecurity with a human security dimension.</w:t>
      </w:r>
    </w:p>
    <w:p w14:paraId="36968E33">
      <w:pPr>
        <w:rPr>
          <w:rFonts w:hint="eastAsia" w:ascii="Times New Roman" w:hAnsi="Times New Roman" w:eastAsia="宋体"/>
          <w:sz w:val="24"/>
        </w:rPr>
      </w:pPr>
    </w:p>
    <w:p w14:paraId="70C40FA2">
      <w:pPr>
        <w:numPr>
          <w:ilvl w:val="0"/>
          <w:numId w:val="1"/>
        </w:numPr>
        <w:rPr>
          <w:rFonts w:hint="eastAsia" w:ascii="Times New Roman" w:hAnsi="Times New Roman" w:eastAsia="宋体"/>
          <w:sz w:val="24"/>
        </w:rPr>
      </w:pPr>
      <w:r>
        <w:rPr>
          <w:rFonts w:hint="default" w:ascii="Times New Roman Bold" w:hAnsi="Times New Roman Bold" w:eastAsia="宋体" w:cs="Times New Roman Bold"/>
          <w:b/>
          <w:bCs/>
          <w:sz w:val="24"/>
          <w:lang w:val="en-US"/>
        </w:rPr>
        <w:t>Country’s Position</w:t>
      </w:r>
      <w:r>
        <w:rPr>
          <w:rFonts w:hint="eastAsia" w:ascii="Times New Roman" w:hAnsi="Times New Roman" w:eastAsia="宋体"/>
          <w:sz w:val="24"/>
        </w:rPr>
        <w:br w:type="textWrapping"/>
      </w:r>
      <w:r>
        <w:rPr>
          <w:rFonts w:hint="eastAsia" w:ascii="Times New Roman" w:hAnsi="Times New Roman" w:eastAsia="宋体"/>
          <w:sz w:val="24"/>
        </w:rPr>
        <w:t>Malaysia strongly supports the full ratification and practical implementation of DEFA and endorses the 2027 ASEAN Chair Singapore's priorities on advancing regional digital transformation. Binding approval targets must accommodate different national starting points to avoid overburdening member states with limited institutional resources.</w:t>
      </w:r>
      <w:r>
        <w:rPr>
          <w:rStyle w:val="19"/>
          <w:rFonts w:ascii="Times New Roman" w:hAnsi="Times New Roman" w:eastAsia="宋体"/>
          <w:sz w:val="24"/>
        </w:rPr>
        <w:footnoteReference w:id="1"/>
      </w:r>
      <w:r>
        <w:rPr>
          <w:rFonts w:hint="eastAsia" w:ascii="Times New Roman" w:hAnsi="Times New Roman" w:eastAsia="宋体"/>
          <w:sz w:val="24"/>
        </w:rPr>
        <w:t xml:space="preserve"> Malaysia's national interests lie in advancing cross-border digital trade, protecting domestic data governance, ensuring regional AI cooperation does not over-centralize benefits among a few digital hubs, securing energy supply chains for the digital transition, and combating transnational cyber fraud.</w:t>
      </w:r>
    </w:p>
    <w:p w14:paraId="7A8B6F68">
      <w:pPr>
        <w:rPr>
          <w:rFonts w:hint="eastAsia" w:ascii="Times New Roman" w:hAnsi="Times New Roman" w:eastAsia="宋体"/>
          <w:sz w:val="24"/>
        </w:rPr>
      </w:pPr>
    </w:p>
    <w:p w14:paraId="791848FC">
      <w:pPr>
        <w:rPr>
          <w:rFonts w:hint="eastAsia" w:ascii="Times New Roman" w:hAnsi="Times New Roman" w:eastAsia="宋体"/>
          <w:sz w:val="24"/>
        </w:rPr>
      </w:pPr>
      <w:r>
        <w:rPr>
          <w:rFonts w:hint="eastAsia" w:ascii="Times New Roman" w:hAnsi="Times New Roman" w:eastAsia="宋体"/>
          <w:sz w:val="24"/>
        </w:rPr>
        <w:t xml:space="preserve">Nationally, Malaysia has rolled out </w:t>
      </w:r>
      <w:r>
        <w:rPr>
          <w:rFonts w:hint="eastAsia" w:ascii="Times New Roman" w:hAnsi="Times New Roman" w:eastAsia="宋体"/>
          <w:i/>
          <w:iCs/>
          <w:sz w:val="24"/>
        </w:rPr>
        <w:t>the National AI Action Plan 2026-2030</w:t>
      </w:r>
      <w:r>
        <w:rPr>
          <w:rFonts w:hint="eastAsia" w:ascii="Times New Roman" w:hAnsi="Times New Roman" w:eastAsia="宋体"/>
          <w:sz w:val="24"/>
        </w:rPr>
        <w:t xml:space="preserve"> and formally established AI Malaysia Berhad, institutionalizing the National AI Office (NAIO).</w:t>
      </w:r>
      <w:r>
        <w:rPr>
          <w:rStyle w:val="19"/>
          <w:rFonts w:ascii="Times New Roman" w:hAnsi="Times New Roman" w:eastAsia="宋体"/>
          <w:sz w:val="24"/>
        </w:rPr>
        <w:footnoteReference w:id="2"/>
      </w:r>
      <w:r>
        <w:rPr>
          <w:rFonts w:hint="eastAsia" w:ascii="Times New Roman" w:hAnsi="Times New Roman" w:eastAsia="宋体"/>
          <w:sz w:val="24"/>
        </w:rPr>
        <w:t xml:space="preserve"> On energy, Malaysia advances this agenda through the 2030 New Industrial Master Plan and the National Energy Transition Roadmap. On cybersecurity, Malaysia addresses threats through </w:t>
      </w:r>
      <w:r>
        <w:rPr>
          <w:rFonts w:hint="eastAsia" w:ascii="Times New Roman" w:hAnsi="Times New Roman" w:eastAsia="宋体"/>
          <w:i/>
          <w:iCs/>
          <w:sz w:val="24"/>
        </w:rPr>
        <w:t>the 2024 Cybersecurity Law</w:t>
      </w:r>
      <w:r>
        <w:rPr>
          <w:rFonts w:hint="eastAsia" w:ascii="Times New Roman" w:hAnsi="Times New Roman" w:eastAsia="宋体"/>
          <w:sz w:val="24"/>
        </w:rPr>
        <w:t xml:space="preserve">, </w:t>
      </w:r>
      <w:r>
        <w:rPr>
          <w:rFonts w:hint="eastAsia" w:ascii="Times New Roman" w:hAnsi="Times New Roman" w:eastAsia="宋体"/>
          <w:i/>
          <w:iCs/>
          <w:sz w:val="24"/>
        </w:rPr>
        <w:t>the Malaysia Cybersecurity Strategy 2025-2030</w:t>
      </w:r>
      <w:r>
        <w:rPr>
          <w:rFonts w:hint="eastAsia" w:ascii="Times New Roman" w:hAnsi="Times New Roman" w:eastAsia="宋体"/>
          <w:sz w:val="24"/>
        </w:rPr>
        <w:t>, and the cross-departmental National Fraud Response Center.</w:t>
      </w:r>
    </w:p>
    <w:p w14:paraId="25CBE456">
      <w:pPr>
        <w:rPr>
          <w:rFonts w:hint="eastAsia" w:ascii="Times New Roman" w:hAnsi="Times New Roman" w:eastAsia="宋体"/>
          <w:sz w:val="24"/>
        </w:rPr>
      </w:pPr>
    </w:p>
    <w:p w14:paraId="3F697941">
      <w:pPr>
        <w:rPr>
          <w:rFonts w:ascii="Times New Roman" w:hAnsi="Times New Roman" w:eastAsia="宋体"/>
          <w:sz w:val="24"/>
        </w:rPr>
      </w:pPr>
      <w:r>
        <w:rPr>
          <w:rFonts w:hint="eastAsia" w:ascii="Times New Roman" w:hAnsi="Times New Roman" w:eastAsia="宋体"/>
          <w:sz w:val="24"/>
        </w:rPr>
        <w:t>At the ASEAN level, Malaysia hosts the secretariat of the ASEAN AI Safety Network</w:t>
      </w:r>
      <w:r>
        <w:rPr>
          <w:rStyle w:val="19"/>
          <w:rFonts w:ascii="Times New Roman" w:hAnsi="Times New Roman" w:eastAsia="宋体"/>
          <w:sz w:val="24"/>
        </w:rPr>
        <w:footnoteReference w:id="3"/>
      </w:r>
      <w:r>
        <w:rPr>
          <w:rFonts w:hint="eastAsia" w:ascii="Times New Roman" w:hAnsi="Times New Roman" w:eastAsia="宋体"/>
          <w:sz w:val="24"/>
        </w:rPr>
        <w:t>, advances multilateral power trading under the ASEAN Power Grid and digital integration under the DEFA framework, and actively supports the ASEAN Declaration on the Use of Technological Means to Address Human Trafficking.</w:t>
      </w:r>
    </w:p>
    <w:p w14:paraId="557C16BC">
      <w:pPr>
        <w:numPr>
          <w:ilvl w:val="0"/>
          <w:numId w:val="1"/>
        </w:numPr>
        <w:ind w:left="0" w:leftChars="0" w:firstLine="0" w:firstLineChars="0"/>
        <w:rPr>
          <w:rFonts w:hint="default" w:ascii="Times New Roman" w:hAnsi="Times New Roman" w:eastAsia="宋体"/>
          <w:b/>
          <w:bCs/>
          <w:sz w:val="24"/>
          <w:lang w:val="en-US"/>
        </w:rPr>
      </w:pPr>
      <w:r>
        <w:rPr>
          <w:rFonts w:hint="default" w:ascii="Times New Roman" w:hAnsi="Times New Roman" w:eastAsia="宋体"/>
          <w:b/>
          <w:bCs/>
          <w:sz w:val="24"/>
          <w:lang w:val="en-US"/>
        </w:rPr>
        <w:t>Proposed Solutions</w:t>
      </w:r>
    </w:p>
    <w:p w14:paraId="2FA8A908">
      <w:pPr>
        <w:rPr>
          <w:rFonts w:ascii="Times New Roman" w:hAnsi="Times New Roman" w:eastAsia="宋体"/>
          <w:sz w:val="24"/>
        </w:rPr>
      </w:pPr>
      <w:r>
        <w:rPr>
          <w:rFonts w:ascii="Times New Roman" w:hAnsi="Times New Roman" w:eastAsia="宋体"/>
          <w:b/>
          <w:bCs/>
          <w:sz w:val="24"/>
        </w:rPr>
        <w:t>First, strengthen inclusive cooperation at the foundational infrastructure level.</w:t>
      </w:r>
      <w:r>
        <w:rPr>
          <w:rFonts w:ascii="Times New Roman" w:hAnsi="Times New Roman" w:eastAsia="宋体"/>
          <w:sz w:val="24"/>
        </w:rPr>
        <w:t xml:space="preserve"> Digital and energy infrastructure is the core bottleneck constraining AI development in ASEAN's less developed member states. Malaysia proposes incorporating inclusive infrastructure development into the regional digital transformation roadmap at the 2027 ASEAN Summit. ASEAN should establish a regional mechanism for shared digital infrastructure, focusing on universal broadband connectivity, low-cost cloud computing resources, and energy-efficient data centers. Advanced member states can share experience while the ASEAN Secretariat coordinates joint investment projects to reduce costs for small and medium-sized economies.</w:t>
      </w:r>
    </w:p>
    <w:p w14:paraId="72868B08">
      <w:pPr>
        <w:rPr>
          <w:rFonts w:ascii="Times New Roman" w:hAnsi="Times New Roman" w:eastAsia="宋体"/>
          <w:sz w:val="24"/>
        </w:rPr>
      </w:pPr>
    </w:p>
    <w:p w14:paraId="746959D7">
      <w:pPr>
        <w:rPr>
          <w:rFonts w:ascii="Times New Roman" w:hAnsi="Times New Roman" w:eastAsia="宋体"/>
          <w:sz w:val="24"/>
        </w:rPr>
      </w:pPr>
      <w:r>
        <w:rPr>
          <w:rFonts w:ascii="Times New Roman" w:hAnsi="Times New Roman" w:eastAsia="宋体"/>
          <w:b/>
          <w:bCs/>
          <w:sz w:val="24"/>
        </w:rPr>
        <w:t>Second, promote collaboration and sharing at the core technology level.</w:t>
      </w:r>
      <w:r>
        <w:rPr>
          <w:rFonts w:ascii="Times New Roman" w:hAnsi="Times New Roman" w:eastAsia="宋体"/>
          <w:sz w:val="24"/>
        </w:rPr>
        <w:t xml:space="preserve"> Building on the existing </w:t>
      </w:r>
      <w:r>
        <w:rPr>
          <w:rFonts w:ascii="Times New Roman" w:hAnsi="Times New Roman" w:eastAsia="宋体"/>
          <w:i/>
          <w:iCs/>
          <w:sz w:val="24"/>
        </w:rPr>
        <w:t>ASEAN Guide on AI Governance and Ethics</w:t>
      </w:r>
      <w:r>
        <w:rPr>
          <w:rFonts w:ascii="Times New Roman" w:hAnsi="Times New Roman" w:eastAsia="宋体"/>
          <w:sz w:val="24"/>
        </w:rPr>
        <w:t>, ASEAN should jointly develop an ASEAN-specific multilingual regional language model and a culturally adapted AI algorithm database, and establish a regional AI talent exchange and training mechanism. Technologically leading members such as Singapore and Malaysia could regularly host ASEAN technical workshops and dispatch AI expert teams to less developed member states to guide talent development.</w:t>
      </w:r>
    </w:p>
    <w:p w14:paraId="6429B32B">
      <w:pPr>
        <w:rPr>
          <w:rFonts w:ascii="Times New Roman" w:hAnsi="Times New Roman" w:eastAsia="宋体"/>
          <w:sz w:val="24"/>
        </w:rPr>
      </w:pPr>
    </w:p>
    <w:p w14:paraId="08A88751">
      <w:pPr>
        <w:rPr>
          <w:rFonts w:ascii="Times New Roman" w:hAnsi="Times New Roman" w:eastAsia="宋体"/>
          <w:sz w:val="24"/>
        </w:rPr>
      </w:pPr>
      <w:r>
        <w:rPr>
          <w:rFonts w:ascii="Times New Roman" w:hAnsi="Times New Roman" w:eastAsia="宋体"/>
          <w:b/>
          <w:bCs/>
          <w:sz w:val="24"/>
        </w:rPr>
        <w:t>Third, expand inclusive empowerment at the industrial application level.</w:t>
      </w:r>
      <w:r>
        <w:rPr>
          <w:rFonts w:ascii="Times New Roman" w:hAnsi="Times New Roman" w:eastAsia="宋体"/>
          <w:sz w:val="24"/>
        </w:rPr>
        <w:t xml:space="preserve"> Malaysia proposes a multi-scenario regional AI application system focused on livelihoods and micro, small and medium enterprises (MSMEs). ASEAN should launch cross-border AI demonstration projects in agriculture, manufacturing, tourism, and digital trade; develop lightweight AI tools tailored to ASEAN MSMEs to help traditional enterprises complete digital and intelligent upgrading; and promote cross-border sharing of AI use cases in smart governance, healthcare, and education.</w:t>
      </w:r>
    </w:p>
    <w:p w14:paraId="3AE79650">
      <w:pPr>
        <w:rPr>
          <w:rFonts w:ascii="Times New Roman" w:hAnsi="Times New Roman" w:eastAsia="宋体"/>
          <w:sz w:val="24"/>
        </w:rPr>
      </w:pPr>
    </w:p>
    <w:p w14:paraId="445BEBCB">
      <w:pPr>
        <w:rPr>
          <w:rFonts w:ascii="Times New Roman" w:hAnsi="Times New Roman" w:eastAsia="宋体"/>
          <w:sz w:val="24"/>
        </w:rPr>
      </w:pPr>
      <w:r>
        <w:rPr>
          <w:rFonts w:ascii="Times New Roman" w:hAnsi="Times New Roman" w:eastAsia="宋体"/>
          <w:b/>
          <w:bCs/>
          <w:sz w:val="24"/>
        </w:rPr>
        <w:t>Fourth, establish a summit-level regional economic defense mechanism for energy supply chain security under the 2025+ strategic framework.</w:t>
      </w:r>
      <w:r>
        <w:rPr>
          <w:rFonts w:ascii="Times New Roman" w:hAnsi="Times New Roman" w:eastAsia="宋体"/>
          <w:sz w:val="24"/>
        </w:rPr>
        <w:t xml:space="preserve"> Malaysia proposes an ASEAN regional working group to harmonize cross-border power agreements and directly connect renewable energy hubs—including the untapped potential of Myanmar's renewable resources—to AI computing clusters. We expect a binding summit declaration to be released in early 2027.</w:t>
      </w:r>
    </w:p>
    <w:p w14:paraId="1C41D7CA">
      <w:pPr>
        <w:rPr>
          <w:rFonts w:ascii="Times New Roman" w:hAnsi="Times New Roman" w:eastAsia="宋体"/>
          <w:sz w:val="24"/>
        </w:rPr>
      </w:pPr>
    </w:p>
    <w:p w14:paraId="15719B86">
      <w:pPr>
        <w:rPr>
          <w:rFonts w:ascii="Times New Roman" w:hAnsi="Times New Roman" w:eastAsia="宋体"/>
          <w:sz w:val="24"/>
        </w:rPr>
      </w:pPr>
      <w:r>
        <w:rPr>
          <w:rFonts w:ascii="Times New Roman" w:hAnsi="Times New Roman" w:eastAsia="宋体"/>
          <w:b/>
          <w:bCs/>
          <w:sz w:val="24"/>
        </w:rPr>
        <w:t>Fifth, reach summit-level consensus on combating transnational cyber fraud.</w:t>
      </w:r>
      <w:r>
        <w:rPr>
          <w:rFonts w:ascii="Times New Roman" w:hAnsi="Times New Roman" w:eastAsia="宋体"/>
          <w:sz w:val="24"/>
        </w:rPr>
        <w:t xml:space="preserve"> Malaysia calls for enhanced cross-border joint law enforcement, financial tracking, and victim repatriation. Regional initiatives, including anti-fraud operations at border camps, should be integrated into a unified ASEAN governance framework to ensure comprehensive, effective, and institutionalized law enforcement by the policy window in early 2027.</w:t>
      </w:r>
    </w:p>
    <w:p w14:paraId="7559CB36">
      <w:pPr>
        <w:rPr>
          <w:rFonts w:ascii="Times New Roman" w:hAnsi="Times New Roman" w:eastAsia="宋体"/>
          <w:sz w:val="24"/>
        </w:rPr>
      </w:pPr>
    </w:p>
    <w:sectPr>
      <w:footerReference r:id="rId4" w:type="default"/>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ppleSystemUIFont">
    <w:altName w:val="Segoe Print"/>
    <w:panose1 w:val="020B0604020202020204"/>
    <w:charset w:val="00"/>
    <w:family w:val="roman"/>
    <w:pitch w:val="default"/>
    <w:sig w:usb0="00000000" w:usb1="00000000" w:usb2="00000000" w:usb3="00000000" w:csb0="00000000" w:csb1="00000000"/>
  </w:font>
  <w:font w:name="苹方-简">
    <w:altName w:val="宋体"/>
    <w:panose1 w:val="020B0400000000000000"/>
    <w:charset w:val="86"/>
    <w:family w:val="auto"/>
    <w:pitch w:val="default"/>
    <w:sig w:usb0="00000000" w:usb1="00000000" w:usb2="00000017" w:usb3="00000000" w:csb0="00040001" w:csb1="00000000"/>
  </w:font>
  <w:font w:name="Times New Roman Bold">
    <w:panose1 w:val="02020503050405090304"/>
    <w:charset w:val="00"/>
    <w:family w:val="auto"/>
    <w:pitch w:val="default"/>
    <w:sig w:usb0="00000000" w:usb1="00000000" w:usb2="00000001" w:usb3="00000000" w:csb0="400001BF" w:csb1="DFF7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53046">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A6A8F7">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EA6A8F7">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37982532">
      <w:pPr>
        <w:pStyle w:val="14"/>
        <w:keepNext w:val="0"/>
        <w:keepLines w:val="0"/>
        <w:pageBreakBefore w:val="0"/>
        <w:widowControl w:val="0"/>
        <w:kinsoku/>
        <w:wordWrap w:val="0"/>
        <w:overflowPunct/>
        <w:topLinePunct w:val="0"/>
        <w:bidi w:val="0"/>
        <w:adjustRightInd/>
        <w:snapToGrid w:val="0"/>
        <w:ind w:firstLine="360" w:firstLineChars="200"/>
        <w:textAlignment w:val="auto"/>
        <w:rPr>
          <w:rFonts w:hint="default" w:ascii="Times New Roman Regular" w:hAnsi="Times New Roman Regular" w:cs="Times New Roman Regular"/>
          <w:sz w:val="18"/>
          <w:szCs w:val="18"/>
          <w:lang w:val="en-US"/>
        </w:rPr>
      </w:pPr>
      <w:r>
        <w:rPr>
          <w:rStyle w:val="19"/>
          <w:rFonts w:hint="default" w:ascii="Times New Roman Regular" w:hAnsi="Times New Roman Regular" w:cs="Times New Roman Regular"/>
          <w:sz w:val="18"/>
          <w:szCs w:val="18"/>
        </w:rPr>
        <w:footnoteRef/>
      </w:r>
      <w:r>
        <w:rPr>
          <w:rFonts w:hint="default" w:ascii="Times New Roman Regular" w:hAnsi="Times New Roman Regular" w:cs="Times New Roman Regular"/>
          <w:sz w:val="18"/>
          <w:szCs w:val="18"/>
        </w:rPr>
        <w:t xml:space="preserve"> </w:t>
      </w:r>
      <w:r>
        <w:rPr>
          <w:rFonts w:hint="default" w:ascii="Times New Roman Regular" w:hAnsi="Times New Roman Regular" w:cs="Times New Roman Regular"/>
          <w:sz w:val="18"/>
          <w:szCs w:val="18"/>
          <w:lang w:val="en-US"/>
        </w:rPr>
        <w:t>ASEAN center for energy, “</w:t>
      </w:r>
      <w:r>
        <w:rPr>
          <w:rFonts w:hint="default" w:ascii="Times New Roman Regular" w:hAnsi="Times New Roman Regular" w:cs="Times New Roman Regular"/>
          <w:sz w:val="18"/>
          <w:szCs w:val="18"/>
        </w:rPr>
        <w:t>Oil &amp; Gas Connectivity, Security, and Sustainability (OGCSS)</w:t>
      </w:r>
      <w:r>
        <w:rPr>
          <w:rFonts w:hint="default" w:ascii="Times New Roman Regular" w:hAnsi="Times New Roman Regular" w:cs="Times New Roman Regular"/>
          <w:sz w:val="18"/>
          <w:szCs w:val="18"/>
          <w:lang w:val="en-US"/>
        </w:rPr>
        <w:t xml:space="preserve">”, </w:t>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fldChar w:fldCharType="begin"/>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instrText xml:space="preserve"> HYPERLINK "https://aseanenergy.org/apaec/oil-gas-connectivity-security-and-sustainability-ogcss" </w:instrText>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fldChar w:fldCharType="separate"/>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t>https://aseanenergy.org/apaec/oil-gas-connectivity-security-and-sustainability-ogcss</w:t>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fldChar w:fldCharType="end"/>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t>,</w:t>
      </w:r>
      <w:r>
        <w:rPr>
          <w:rFonts w:hint="default" w:ascii="Times New Roman Regular" w:hAnsi="Times New Roman Regular" w:cs="Times New Roman Regular" w:eastAsiaTheme="majorEastAsia"/>
          <w:sz w:val="18"/>
          <w:szCs w:val="18"/>
          <w:lang w:val="en-US"/>
        </w:rPr>
        <w:t>Accessed</w:t>
      </w:r>
      <w:r>
        <w:rPr>
          <w:rFonts w:hint="eastAsia" w:ascii="Times New Roman Regular" w:hAnsi="Times New Roman Regular" w:cs="Times New Roman Regular" w:eastAsiaTheme="majorEastAsia"/>
          <w:sz w:val="18"/>
          <w:szCs w:val="18"/>
          <w:lang w:val="en-US" w:eastAsia="zh-CN"/>
        </w:rPr>
        <w:t xml:space="preserve"> </w:t>
      </w:r>
      <w:r>
        <w:rPr>
          <w:rFonts w:hint="default" w:ascii="Times New Roman Regular" w:hAnsi="Times New Roman Regular" w:cs="Times New Roman Regular" w:eastAsiaTheme="majorEastAsia"/>
          <w:sz w:val="18"/>
          <w:szCs w:val="18"/>
          <w:lang w:val="en-US"/>
        </w:rPr>
        <w:t>Aug 20, 2026.</w:t>
      </w:r>
    </w:p>
  </w:footnote>
  <w:footnote w:id="1">
    <w:p w14:paraId="024A7B35">
      <w:pPr>
        <w:pStyle w:val="14"/>
        <w:keepNext w:val="0"/>
        <w:keepLines w:val="0"/>
        <w:pageBreakBefore w:val="0"/>
        <w:widowControl w:val="0"/>
        <w:kinsoku/>
        <w:wordWrap w:val="0"/>
        <w:overflowPunct/>
        <w:topLinePunct w:val="0"/>
        <w:bidi w:val="0"/>
        <w:adjustRightInd/>
        <w:snapToGrid w:val="0"/>
        <w:ind w:firstLine="360" w:firstLineChars="200"/>
        <w:textAlignment w:val="auto"/>
        <w:rPr>
          <w:rFonts w:hint="default" w:ascii="Times New Roman Regular" w:hAnsi="Times New Roman Regular" w:cs="Times New Roman Regular"/>
          <w:sz w:val="18"/>
          <w:szCs w:val="18"/>
        </w:rPr>
      </w:pPr>
      <w:r>
        <w:rPr>
          <w:rStyle w:val="19"/>
          <w:rFonts w:hint="default" w:ascii="Times New Roman Regular" w:hAnsi="Times New Roman Regular" w:cs="Times New Roman Regular"/>
          <w:sz w:val="18"/>
          <w:szCs w:val="18"/>
        </w:rPr>
        <w:footnoteRef/>
      </w:r>
      <w:r>
        <w:rPr>
          <w:rFonts w:hint="default" w:ascii="Times New Roman Regular" w:hAnsi="Times New Roman Regular" w:cs="Times New Roman Regular"/>
          <w:sz w:val="18"/>
          <w:szCs w:val="18"/>
        </w:rPr>
        <w:t xml:space="preserve"> </w:t>
      </w:r>
      <w:r>
        <w:rPr>
          <w:rFonts w:hint="default" w:ascii="Times New Roman Regular" w:hAnsi="Times New Roman Regular" w:cs="Times New Roman Regular"/>
          <w:sz w:val="18"/>
          <w:szCs w:val="18"/>
          <w:lang w:val="en-US"/>
        </w:rPr>
        <w:t>ASEAN, “</w:t>
      </w:r>
      <w:r>
        <w:rPr>
          <w:rFonts w:hint="default" w:ascii="Times New Roman Regular" w:hAnsi="Times New Roman Regular" w:cs="Times New Roman Regular"/>
          <w:sz w:val="18"/>
          <w:szCs w:val="18"/>
        </w:rPr>
        <w:t>Study on the ASEAN Digital Economy Framework Agreement (DEFA)</w:t>
      </w:r>
      <w:r>
        <w:rPr>
          <w:rFonts w:hint="default" w:ascii="Times New Roman Regular" w:hAnsi="Times New Roman Regular" w:cs="Times New Roman Regular"/>
          <w:sz w:val="18"/>
          <w:szCs w:val="18"/>
          <w:lang w:val="en-US"/>
        </w:rPr>
        <w:t>”</w:t>
      </w:r>
      <w:r>
        <w:rPr>
          <w:rFonts w:hint="default" w:ascii="Times New Roman Regular" w:hAnsi="Times New Roman Regular" w:cs="Times New Roman Regular"/>
          <w:sz w:val="18"/>
          <w:szCs w:val="18"/>
        </w:rPr>
        <w:t>, Nov</w:t>
      </w:r>
      <w:r>
        <w:rPr>
          <w:rFonts w:hint="default" w:ascii="Times New Roman Regular" w:hAnsi="Times New Roman Regular" w:cs="Times New Roman Regular"/>
          <w:sz w:val="18"/>
          <w:szCs w:val="18"/>
          <w:lang w:val="en-US"/>
        </w:rPr>
        <w:t xml:space="preserve"> 8, </w:t>
      </w:r>
      <w:r>
        <w:rPr>
          <w:rFonts w:hint="default" w:ascii="Times New Roman Regular" w:hAnsi="Times New Roman Regular" w:cs="Times New Roman Regular"/>
          <w:sz w:val="18"/>
          <w:szCs w:val="18"/>
        </w:rPr>
        <w:t>2024</w:t>
      </w:r>
      <w:r>
        <w:rPr>
          <w:rFonts w:hint="default" w:ascii="Times New Roman Regular" w:hAnsi="Times New Roman Regular" w:cs="Times New Roman Regular"/>
          <w:sz w:val="18"/>
          <w:szCs w:val="18"/>
          <w:lang w:val="en-US"/>
        </w:rPr>
        <w:t xml:space="preserve">, </w:t>
      </w:r>
      <w:r>
        <w:rPr>
          <w:rFonts w:hint="default" w:ascii="Times New Roman Regular" w:hAnsi="Times New Roman Regular" w:cs="Times New Roman Regular"/>
          <w:sz w:val="18"/>
          <w:szCs w:val="18"/>
        </w:rPr>
        <w:fldChar w:fldCharType="begin"/>
      </w:r>
      <w:r>
        <w:rPr>
          <w:rFonts w:hint="default" w:ascii="Times New Roman Regular" w:hAnsi="Times New Roman Regular" w:cs="Times New Roman Regular"/>
          <w:sz w:val="18"/>
          <w:szCs w:val="18"/>
        </w:rPr>
        <w:instrText xml:space="preserve"> HYPERLINK "https://asean.org/wp-content/uploads/2024/11/DEFA-Report-public-summary-expanded_Final_25112024.pdf," </w:instrText>
      </w:r>
      <w:r>
        <w:rPr>
          <w:rFonts w:hint="default" w:ascii="Times New Roman Regular" w:hAnsi="Times New Roman Regular" w:cs="Times New Roman Regular"/>
          <w:sz w:val="18"/>
          <w:szCs w:val="18"/>
        </w:rPr>
        <w:fldChar w:fldCharType="separate"/>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t>https://asean.org/wp-content/uploads/2024/11/DEFA-Report-public-summary-expanded_Final_25112024.pdf</w:t>
      </w:r>
      <w:r>
        <w:rPr>
          <w:rStyle w:val="18"/>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fldChar w:fldCharType="end"/>
      </w:r>
      <w:r>
        <w:rPr>
          <w:rFonts w:hint="default" w:ascii="Times New Roman Regular" w:hAnsi="Times New Roman Regular" w:cs="Times New Roman Regular"/>
          <w:sz w:val="18"/>
          <w:szCs w:val="18"/>
          <w:lang w:val="en-US"/>
        </w:rPr>
        <w:t xml:space="preserve"> </w:t>
      </w:r>
      <w:r>
        <w:rPr>
          <w:rFonts w:hint="default" w:ascii="Times New Roman Regular" w:hAnsi="Times New Roman Regular" w:cs="Times New Roman Regular" w:eastAsiaTheme="majorEastAsia"/>
          <w:sz w:val="18"/>
          <w:szCs w:val="18"/>
          <w:lang w:val="en-US"/>
        </w:rPr>
        <w:t>Accessed</w:t>
      </w:r>
      <w:r>
        <w:rPr>
          <w:rFonts w:hint="eastAsia" w:ascii="Times New Roman Regular" w:hAnsi="Times New Roman Regular" w:cs="Times New Roman Regular" w:eastAsiaTheme="majorEastAsia"/>
          <w:sz w:val="18"/>
          <w:szCs w:val="18"/>
          <w:lang w:val="en-US" w:eastAsia="zh-CN"/>
        </w:rPr>
        <w:t xml:space="preserve"> </w:t>
      </w:r>
      <w:r>
        <w:rPr>
          <w:rFonts w:hint="default" w:ascii="Times New Roman Regular" w:hAnsi="Times New Roman Regular" w:cs="Times New Roman Regular" w:eastAsiaTheme="majorEastAsia"/>
          <w:sz w:val="18"/>
          <w:szCs w:val="18"/>
          <w:lang w:val="en-US"/>
        </w:rPr>
        <w:t>Aug 20, 2026.</w:t>
      </w:r>
    </w:p>
  </w:footnote>
  <w:footnote w:id="2">
    <w:p w14:paraId="709446BF">
      <w:pPr>
        <w:pStyle w:val="14"/>
        <w:keepNext w:val="0"/>
        <w:keepLines w:val="0"/>
        <w:pageBreakBefore w:val="0"/>
        <w:widowControl w:val="0"/>
        <w:kinsoku/>
        <w:wordWrap w:val="0"/>
        <w:overflowPunct/>
        <w:topLinePunct w:val="0"/>
        <w:bidi w:val="0"/>
        <w:adjustRightInd/>
        <w:snapToGrid w:val="0"/>
        <w:ind w:firstLine="360" w:firstLineChars="200"/>
        <w:textAlignment w:val="auto"/>
        <w:rPr>
          <w:rFonts w:hint="default" w:ascii="Times New Roman Regular" w:hAnsi="Times New Roman Regular" w:cs="Times New Roman Regular"/>
          <w:sz w:val="18"/>
          <w:szCs w:val="18"/>
        </w:rPr>
      </w:pPr>
      <w:r>
        <w:rPr>
          <w:rStyle w:val="19"/>
          <w:rFonts w:hint="default" w:ascii="Times New Roman Regular" w:hAnsi="Times New Roman Regular" w:cs="Times New Roman Regular"/>
          <w:sz w:val="18"/>
          <w:szCs w:val="18"/>
        </w:rPr>
        <w:footnoteRef/>
      </w:r>
      <w:r>
        <w:rPr>
          <w:rFonts w:hint="default" w:ascii="Times New Roman Regular" w:hAnsi="Times New Roman Regular" w:cs="Times New Roman Regular"/>
          <w:sz w:val="18"/>
          <w:szCs w:val="18"/>
        </w:rPr>
        <w:t xml:space="preserve"> </w:t>
      </w:r>
      <w:r>
        <w:rPr>
          <w:rFonts w:hint="default" w:ascii="Times New Roman Regular" w:hAnsi="Times New Roman Regular" w:cs="Times New Roman Regular"/>
          <w:sz w:val="18"/>
          <w:szCs w:val="18"/>
          <w:lang w:val="en-US"/>
        </w:rPr>
        <w:t>PRESS KL, “</w:t>
      </w:r>
      <w:r>
        <w:rPr>
          <w:rFonts w:hint="default" w:ascii="Times New Roman Regular" w:hAnsi="Times New Roman Regular" w:cs="Times New Roman Regular"/>
          <w:sz w:val="18"/>
          <w:szCs w:val="18"/>
        </w:rPr>
        <w:t>Malaysia Establishes AI Malaysia to Drive National AI Vision Towards 2030</w:t>
      </w:r>
      <w:r>
        <w:rPr>
          <w:rFonts w:hint="default" w:ascii="Times New Roman Regular" w:hAnsi="Times New Roman Regular" w:cs="Times New Roman Regular"/>
          <w:sz w:val="18"/>
          <w:szCs w:val="18"/>
          <w:lang w:val="en-US"/>
        </w:rPr>
        <w:t>”</w:t>
      </w:r>
      <w:r>
        <w:rPr>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lang w:val="en-US"/>
        </w:rPr>
        <w:t xml:space="preserve"> </w:t>
      </w:r>
      <w:r>
        <w:rPr>
          <w:rFonts w:hint="default" w:ascii="Times New Roman Regular" w:hAnsi="Times New Roman Regular" w:cs="Times New Roman Regular"/>
          <w:sz w:val="18"/>
          <w:szCs w:val="18"/>
        </w:rPr>
        <w:t>July 29, 2026</w:t>
      </w:r>
      <w:r>
        <w:rPr>
          <w:rFonts w:hint="default" w:ascii="Times New Roman Regular" w:hAnsi="Times New Roman Regular" w:cs="Times New Roman Regular"/>
          <w:sz w:val="18"/>
          <w:szCs w:val="18"/>
          <w:lang w:val="en-US"/>
        </w:rPr>
        <w:t xml:space="preserve">, </w:t>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fldChar w:fldCharType="begin"/>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instrText xml:space="preserve"> HYPERLINK "https://presskl.com/2026/07/29/malaysia-establishes-ai-malaysia-to-drive-national-ai-vision-towards-2030/," </w:instrText>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fldChar w:fldCharType="separate"/>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t>https://presskl.com/2026/07/29/malaysia-establishes-ai-malaysia-to-drive-national-ai-vision-towards-2030/,</w:t>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fldChar w:fldCharType="end"/>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t xml:space="preserve"> </w:t>
      </w:r>
      <w:r>
        <w:rPr>
          <w:rFonts w:hint="default" w:ascii="Times New Roman Regular" w:hAnsi="Times New Roman Regular" w:cs="Times New Roman Regular" w:eastAsiaTheme="majorEastAsia"/>
          <w:sz w:val="18"/>
          <w:szCs w:val="18"/>
          <w:lang w:val="en-US"/>
        </w:rPr>
        <w:t>Accessed</w:t>
      </w:r>
      <w:r>
        <w:rPr>
          <w:rFonts w:hint="eastAsia" w:ascii="Times New Roman Regular" w:hAnsi="Times New Roman Regular" w:cs="Times New Roman Regular" w:eastAsiaTheme="majorEastAsia"/>
          <w:sz w:val="18"/>
          <w:szCs w:val="18"/>
          <w:lang w:val="en-US" w:eastAsia="zh-CN"/>
        </w:rPr>
        <w:t xml:space="preserve"> </w:t>
      </w:r>
      <w:r>
        <w:rPr>
          <w:rFonts w:hint="default" w:ascii="Times New Roman Regular" w:hAnsi="Times New Roman Regular" w:cs="Times New Roman Regular" w:eastAsiaTheme="majorEastAsia"/>
          <w:sz w:val="18"/>
          <w:szCs w:val="18"/>
          <w:lang w:val="en-US"/>
        </w:rPr>
        <w:t>Aug 20, 2026.</w:t>
      </w:r>
    </w:p>
  </w:footnote>
  <w:footnote w:id="3">
    <w:p w14:paraId="2D8E22CB">
      <w:pPr>
        <w:pStyle w:val="14"/>
        <w:keepNext w:val="0"/>
        <w:keepLines w:val="0"/>
        <w:pageBreakBefore w:val="0"/>
        <w:widowControl w:val="0"/>
        <w:kinsoku/>
        <w:wordWrap w:val="0"/>
        <w:overflowPunct/>
        <w:topLinePunct w:val="0"/>
        <w:bidi w:val="0"/>
        <w:adjustRightInd/>
        <w:snapToGrid w:val="0"/>
        <w:ind w:firstLine="360" w:firstLineChars="200"/>
        <w:textAlignment w:val="auto"/>
        <w:rPr>
          <w:rFonts w:hint="default" w:ascii="Times New Roman Regular" w:hAnsi="Times New Roman Regular" w:cs="Times New Roman Regular"/>
          <w:sz w:val="18"/>
          <w:szCs w:val="18"/>
        </w:rPr>
      </w:pPr>
      <w:r>
        <w:rPr>
          <w:rStyle w:val="19"/>
          <w:rFonts w:hint="default" w:ascii="Times New Roman Regular" w:hAnsi="Times New Roman Regular" w:cs="Times New Roman Regular"/>
          <w:sz w:val="18"/>
          <w:szCs w:val="18"/>
        </w:rPr>
        <w:footnoteRef/>
      </w:r>
      <w:r>
        <w:rPr>
          <w:rFonts w:hint="default" w:ascii="Times New Roman Regular" w:hAnsi="Times New Roman Regular" w:cs="Times New Roman Regular"/>
          <w:sz w:val="18"/>
          <w:szCs w:val="18"/>
          <w:lang w:val="en-US"/>
        </w:rPr>
        <w:t xml:space="preserve"> Vietnam,</w:t>
      </w:r>
      <w:r>
        <w:rPr>
          <w:rFonts w:hint="default" w:ascii="Times New Roman Regular" w:hAnsi="Times New Roman Regular" w:cs="Times New Roman Regular"/>
          <w:sz w:val="18"/>
          <w:szCs w:val="18"/>
        </w:rPr>
        <w:t xml:space="preserve"> </w:t>
      </w:r>
      <w:r>
        <w:rPr>
          <w:rFonts w:hint="default" w:ascii="Times New Roman Regular" w:hAnsi="Times New Roman Regular" w:cs="Times New Roman Regular"/>
          <w:sz w:val="18"/>
          <w:szCs w:val="18"/>
          <w:lang w:val="en-US"/>
        </w:rPr>
        <w:t>“</w:t>
      </w:r>
      <w:r>
        <w:rPr>
          <w:rFonts w:hint="default" w:ascii="Times New Roman Regular" w:hAnsi="Times New Roman Regular" w:cs="Times New Roman Regular"/>
          <w:sz w:val="18"/>
          <w:szCs w:val="18"/>
        </w:rPr>
        <w:t>ASEAN AI Safety Network to be based in Malaysia</w:t>
      </w:r>
      <w:r>
        <w:rPr>
          <w:rFonts w:hint="default" w:ascii="Times New Roman Regular" w:hAnsi="Times New Roman Regular" w:cs="Times New Roman Regular"/>
          <w:sz w:val="18"/>
          <w:szCs w:val="18"/>
          <w:lang w:val="en-US"/>
        </w:rPr>
        <w:t>”</w:t>
      </w:r>
      <w:r>
        <w:rPr>
          <w:rFonts w:hint="default" w:ascii="Times New Roman Regular" w:hAnsi="Times New Roman Regular" w:cs="Times New Roman Regular"/>
          <w:sz w:val="18"/>
          <w:szCs w:val="18"/>
        </w:rPr>
        <w:t xml:space="preserve">, </w:t>
      </w:r>
      <w:r>
        <w:rPr>
          <w:rFonts w:hint="default" w:ascii="Times New Roman Regular" w:hAnsi="Times New Roman Regular" w:cs="Times New Roman Regular"/>
          <w:sz w:val="18"/>
          <w:szCs w:val="18"/>
          <w:lang w:val="en-US"/>
        </w:rPr>
        <w:t xml:space="preserve">Jun 19, 2026, </w:t>
      </w:r>
      <w:r>
        <w:rPr>
          <w:rFonts w:hint="default" w:ascii="Times New Roman Regular" w:hAnsi="Times New Roman Regular" w:cs="Times New Roman Regular"/>
          <w:sz w:val="18"/>
          <w:szCs w:val="18"/>
        </w:rPr>
        <w:fldChar w:fldCharType="begin"/>
      </w:r>
      <w:r>
        <w:rPr>
          <w:rFonts w:hint="default" w:ascii="Times New Roman Regular" w:hAnsi="Times New Roman Regular" w:cs="Times New Roman Regular"/>
          <w:sz w:val="18"/>
          <w:szCs w:val="18"/>
        </w:rPr>
        <w:instrText xml:space="preserve"> HYPERLINK "https://en.vietnamplus.vn/asean-ai-safety-network-to-be-based-in-malaysia-post336266.vnp," </w:instrText>
      </w:r>
      <w:r>
        <w:rPr>
          <w:rFonts w:hint="default" w:ascii="Times New Roman Regular" w:hAnsi="Times New Roman Regular" w:cs="Times New Roman Regular"/>
          <w:sz w:val="18"/>
          <w:szCs w:val="18"/>
        </w:rPr>
        <w:fldChar w:fldCharType="separate"/>
      </w:r>
      <w:r>
        <w:rPr>
          <w:rStyle w:val="18"/>
          <w:rFonts w:hint="default" w:ascii="Times New Roman Regular" w:hAnsi="Times New Roman Regular" w:cs="Times New Roman Regular" w:eastAsiaTheme="majorEastAsia"/>
          <w:color w:val="0000FF"/>
          <w:kern w:val="0"/>
          <w:sz w:val="18"/>
          <w:szCs w:val="18"/>
          <w:lang w:val="en-US" w:eastAsia="zh-CN" w:bidi="ar-SA"/>
          <w14:ligatures w14:val="none"/>
        </w:rPr>
        <w:t>https://en.vietnamplus.vn/asean-ai-safety-network-to-be-based-in-malaysia-post336266.vnp</w:t>
      </w:r>
      <w:r>
        <w:rPr>
          <w:rFonts w:hint="default" w:ascii="Times New Roman Regular" w:hAnsi="Times New Roman Regular" w:cs="Times New Roman Regular"/>
          <w:sz w:val="18"/>
          <w:szCs w:val="18"/>
        </w:rPr>
        <w:t>,</w:t>
      </w:r>
      <w:r>
        <w:rPr>
          <w:rFonts w:hint="default" w:ascii="Times New Roman Regular" w:hAnsi="Times New Roman Regular" w:cs="Times New Roman Regular"/>
          <w:sz w:val="18"/>
          <w:szCs w:val="18"/>
        </w:rPr>
        <w:fldChar w:fldCharType="end"/>
      </w:r>
      <w:r>
        <w:rPr>
          <w:rFonts w:hint="default" w:ascii="Times New Roman Regular" w:hAnsi="Times New Roman Regular" w:cs="Times New Roman Regular"/>
          <w:sz w:val="18"/>
          <w:szCs w:val="18"/>
          <w:lang w:val="en-US"/>
        </w:rPr>
        <w:t xml:space="preserve"> </w:t>
      </w:r>
      <w:r>
        <w:rPr>
          <w:rFonts w:hint="default" w:ascii="Times New Roman Regular" w:hAnsi="Times New Roman Regular" w:cs="Times New Roman Regular" w:eastAsiaTheme="majorEastAsia"/>
          <w:sz w:val="18"/>
          <w:szCs w:val="18"/>
          <w:lang w:val="en-US"/>
        </w:rPr>
        <w:t>Accessed</w:t>
      </w:r>
      <w:r>
        <w:rPr>
          <w:rFonts w:hint="eastAsia" w:ascii="Times New Roman Regular" w:hAnsi="Times New Roman Regular" w:cs="Times New Roman Regular" w:eastAsiaTheme="majorEastAsia"/>
          <w:sz w:val="18"/>
          <w:szCs w:val="18"/>
          <w:lang w:val="en-US" w:eastAsia="zh-CN"/>
        </w:rPr>
        <w:t xml:space="preserve"> </w:t>
      </w:r>
      <w:r>
        <w:rPr>
          <w:rFonts w:hint="default" w:ascii="Times New Roman Regular" w:hAnsi="Times New Roman Regular" w:cs="Times New Roman Regular" w:eastAsiaTheme="majorEastAsia"/>
          <w:sz w:val="18"/>
          <w:szCs w:val="18"/>
          <w:lang w:val="en-US"/>
        </w:rPr>
        <w:t>Aug 20, 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5880E2"/>
    <w:multiLevelType w:val="singleLevel"/>
    <w:tmpl w:val="D75880E2"/>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8"/>
    <w:footnote w:id="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7D7"/>
    <w:rsid w:val="00004286"/>
    <w:rsid w:val="000355F6"/>
    <w:rsid w:val="00072770"/>
    <w:rsid w:val="000D2FD1"/>
    <w:rsid w:val="000E42AC"/>
    <w:rsid w:val="00136EEA"/>
    <w:rsid w:val="001652BC"/>
    <w:rsid w:val="00185A75"/>
    <w:rsid w:val="001A641C"/>
    <w:rsid w:val="001C1628"/>
    <w:rsid w:val="001D0B09"/>
    <w:rsid w:val="001F6512"/>
    <w:rsid w:val="002131C4"/>
    <w:rsid w:val="0021436D"/>
    <w:rsid w:val="00221FD2"/>
    <w:rsid w:val="00223F43"/>
    <w:rsid w:val="00232082"/>
    <w:rsid w:val="002336CC"/>
    <w:rsid w:val="0028031D"/>
    <w:rsid w:val="002E1D5D"/>
    <w:rsid w:val="0033486A"/>
    <w:rsid w:val="00367773"/>
    <w:rsid w:val="00375B96"/>
    <w:rsid w:val="0038306B"/>
    <w:rsid w:val="00384CEE"/>
    <w:rsid w:val="003F6ED7"/>
    <w:rsid w:val="00407385"/>
    <w:rsid w:val="00485038"/>
    <w:rsid w:val="00491B9C"/>
    <w:rsid w:val="00492E7C"/>
    <w:rsid w:val="004C0569"/>
    <w:rsid w:val="004E6437"/>
    <w:rsid w:val="0051777C"/>
    <w:rsid w:val="00533639"/>
    <w:rsid w:val="0055182D"/>
    <w:rsid w:val="00554680"/>
    <w:rsid w:val="0056638A"/>
    <w:rsid w:val="00590B40"/>
    <w:rsid w:val="005A29C2"/>
    <w:rsid w:val="005B206C"/>
    <w:rsid w:val="005B4373"/>
    <w:rsid w:val="005E2D6E"/>
    <w:rsid w:val="005F503F"/>
    <w:rsid w:val="00612AC5"/>
    <w:rsid w:val="00612ECC"/>
    <w:rsid w:val="00615F60"/>
    <w:rsid w:val="00621BAC"/>
    <w:rsid w:val="0062379B"/>
    <w:rsid w:val="00660DD8"/>
    <w:rsid w:val="00660FE1"/>
    <w:rsid w:val="006663FA"/>
    <w:rsid w:val="00667D58"/>
    <w:rsid w:val="006A0435"/>
    <w:rsid w:val="006C5ABD"/>
    <w:rsid w:val="006D09F6"/>
    <w:rsid w:val="006D459C"/>
    <w:rsid w:val="006F6C42"/>
    <w:rsid w:val="00715172"/>
    <w:rsid w:val="007241F9"/>
    <w:rsid w:val="00731BC0"/>
    <w:rsid w:val="007362CB"/>
    <w:rsid w:val="00754D76"/>
    <w:rsid w:val="007606DC"/>
    <w:rsid w:val="007D4119"/>
    <w:rsid w:val="007F3731"/>
    <w:rsid w:val="007F4C71"/>
    <w:rsid w:val="008B7059"/>
    <w:rsid w:val="0090408D"/>
    <w:rsid w:val="00910872"/>
    <w:rsid w:val="009135DD"/>
    <w:rsid w:val="00933324"/>
    <w:rsid w:val="00951E92"/>
    <w:rsid w:val="00983AC2"/>
    <w:rsid w:val="00987749"/>
    <w:rsid w:val="00995F1F"/>
    <w:rsid w:val="009C3F57"/>
    <w:rsid w:val="009C5E91"/>
    <w:rsid w:val="009D499F"/>
    <w:rsid w:val="009D582C"/>
    <w:rsid w:val="00A00CEF"/>
    <w:rsid w:val="00A75D99"/>
    <w:rsid w:val="00A94928"/>
    <w:rsid w:val="00AA7153"/>
    <w:rsid w:val="00B00EBE"/>
    <w:rsid w:val="00B31353"/>
    <w:rsid w:val="00B37597"/>
    <w:rsid w:val="00B80939"/>
    <w:rsid w:val="00B902EA"/>
    <w:rsid w:val="00B97259"/>
    <w:rsid w:val="00BB19E9"/>
    <w:rsid w:val="00BD293E"/>
    <w:rsid w:val="00C33810"/>
    <w:rsid w:val="00C33E32"/>
    <w:rsid w:val="00C71F89"/>
    <w:rsid w:val="00C74E65"/>
    <w:rsid w:val="00C818FA"/>
    <w:rsid w:val="00C833C4"/>
    <w:rsid w:val="00C9424E"/>
    <w:rsid w:val="00CA3329"/>
    <w:rsid w:val="00CB7DC7"/>
    <w:rsid w:val="00CC01A7"/>
    <w:rsid w:val="00CE7279"/>
    <w:rsid w:val="00CF1C58"/>
    <w:rsid w:val="00D01EA4"/>
    <w:rsid w:val="00D27A1D"/>
    <w:rsid w:val="00D577D7"/>
    <w:rsid w:val="00D74035"/>
    <w:rsid w:val="00DA6D6C"/>
    <w:rsid w:val="00DC1D91"/>
    <w:rsid w:val="00DC6D7C"/>
    <w:rsid w:val="00DF5F70"/>
    <w:rsid w:val="00DF7712"/>
    <w:rsid w:val="00E02F76"/>
    <w:rsid w:val="00E16FE3"/>
    <w:rsid w:val="00E2376A"/>
    <w:rsid w:val="00E446DC"/>
    <w:rsid w:val="00E833A0"/>
    <w:rsid w:val="00E87DC0"/>
    <w:rsid w:val="00EB59FE"/>
    <w:rsid w:val="00EB5BFD"/>
    <w:rsid w:val="00EB60C1"/>
    <w:rsid w:val="00ED0764"/>
    <w:rsid w:val="00EF4064"/>
    <w:rsid w:val="00F17DFB"/>
    <w:rsid w:val="00F260AF"/>
    <w:rsid w:val="00F759F3"/>
    <w:rsid w:val="00F94601"/>
    <w:rsid w:val="00FB48C2"/>
    <w:rsid w:val="16FF1886"/>
    <w:rsid w:val="56D54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footnote text"/>
    <w:basedOn w:val="1"/>
    <w:link w:val="40"/>
    <w:semiHidden/>
    <w:unhideWhenUsed/>
    <w:qFormat/>
    <w:uiPriority w:val="99"/>
    <w:pPr>
      <w:snapToGrid w:val="0"/>
      <w:jc w:val="left"/>
    </w:pPr>
    <w:rPr>
      <w:sz w:val="18"/>
      <w:szCs w:val="18"/>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8">
    <w:name w:val="Hyperlink"/>
    <w:basedOn w:val="17"/>
    <w:unhideWhenUsed/>
    <w:uiPriority w:val="99"/>
    <w:rPr>
      <w:color w:val="467886" w:themeColor="hyperlink"/>
      <w:u w:val="single"/>
      <w14:textFill>
        <w14:solidFill>
          <w14:schemeClr w14:val="hlink"/>
        </w14:solidFill>
      </w14:textFill>
    </w:rPr>
  </w:style>
  <w:style w:type="character" w:styleId="19">
    <w:name w:val="footnote reference"/>
    <w:basedOn w:val="17"/>
    <w:semiHidden/>
    <w:unhideWhenUsed/>
    <w:uiPriority w:val="99"/>
    <w:rPr>
      <w:vertAlign w:val="superscript"/>
    </w:rPr>
  </w:style>
  <w:style w:type="character" w:customStyle="1" w:styleId="20">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7"/>
    <w:link w:val="5"/>
    <w:semiHidden/>
    <w:uiPriority w:val="9"/>
    <w:rPr>
      <w:rFonts w:cstheme="majorBidi"/>
      <w:color w:val="104862" w:themeColor="accent1" w:themeShade="BF"/>
      <w:sz w:val="28"/>
      <w:szCs w:val="28"/>
    </w:rPr>
  </w:style>
  <w:style w:type="character" w:customStyle="1" w:styleId="24">
    <w:name w:val="标题 5 字符"/>
    <w:basedOn w:val="17"/>
    <w:link w:val="6"/>
    <w:semiHidden/>
    <w:uiPriority w:val="9"/>
    <w:rPr>
      <w:rFonts w:cstheme="majorBidi"/>
      <w:color w:val="104862" w:themeColor="accent1" w:themeShade="BF"/>
      <w:sz w:val="24"/>
      <w:szCs w:val="24"/>
    </w:rPr>
  </w:style>
  <w:style w:type="character" w:customStyle="1" w:styleId="25">
    <w:name w:val="标题 6 字符"/>
    <w:basedOn w:val="17"/>
    <w:link w:val="7"/>
    <w:semiHidden/>
    <w:uiPriority w:val="9"/>
    <w:rPr>
      <w:rFonts w:cstheme="majorBidi"/>
      <w:b/>
      <w:bCs/>
      <w:color w:val="104862" w:themeColor="accent1" w:themeShade="BF"/>
    </w:rPr>
  </w:style>
  <w:style w:type="character" w:customStyle="1" w:styleId="26">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7"/>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7"/>
    <w:link w:val="35"/>
    <w:uiPriority w:val="30"/>
    <w:rPr>
      <w:i/>
      <w:iCs/>
      <w:color w:val="104862" w:themeColor="accent1" w:themeShade="BF"/>
    </w:rPr>
  </w:style>
  <w:style w:type="character" w:customStyle="1" w:styleId="37">
    <w:name w:val="Intense Reference"/>
    <w:basedOn w:val="17"/>
    <w:qFormat/>
    <w:uiPriority w:val="32"/>
    <w:rPr>
      <w:b/>
      <w:bCs/>
      <w:smallCaps/>
      <w:color w:val="104862" w:themeColor="accent1" w:themeShade="BF"/>
      <w:spacing w:val="5"/>
    </w:rPr>
  </w:style>
  <w:style w:type="character" w:customStyle="1" w:styleId="38">
    <w:name w:val="页眉 字符"/>
    <w:basedOn w:val="17"/>
    <w:link w:val="12"/>
    <w:qFormat/>
    <w:uiPriority w:val="99"/>
    <w:rPr>
      <w:sz w:val="18"/>
      <w:szCs w:val="18"/>
    </w:rPr>
  </w:style>
  <w:style w:type="character" w:customStyle="1" w:styleId="39">
    <w:name w:val="页脚 字符"/>
    <w:basedOn w:val="17"/>
    <w:link w:val="11"/>
    <w:qFormat/>
    <w:uiPriority w:val="99"/>
    <w:rPr>
      <w:sz w:val="18"/>
      <w:szCs w:val="18"/>
    </w:rPr>
  </w:style>
  <w:style w:type="character" w:customStyle="1" w:styleId="40">
    <w:name w:val="脚注文本 字符"/>
    <w:basedOn w:val="17"/>
    <w:link w:val="14"/>
    <w:semiHidden/>
    <w:qFormat/>
    <w:uiPriority w:val="99"/>
    <w:rPr>
      <w:sz w:val="18"/>
      <w:szCs w:val="18"/>
    </w:rPr>
  </w:style>
  <w:style w:type="character" w:customStyle="1" w:styleId="41">
    <w:name w:val="Unresolved Mention"/>
    <w:basedOn w:val="17"/>
    <w:semiHidden/>
    <w:unhideWhenUsed/>
    <w:qFormat/>
    <w:uiPriority w:val="99"/>
    <w:rPr>
      <w:color w:val="605E5C"/>
      <w:shd w:val="clear" w:color="auto" w:fill="E1DFDD"/>
    </w:rPr>
  </w:style>
  <w:style w:type="paragraph" w:customStyle="1" w:styleId="42">
    <w:name w:val="p2"/>
    <w:basedOn w:val="1"/>
    <w:qFormat/>
    <w:uiPriority w:val="0"/>
    <w:pPr>
      <w:spacing w:after="0" w:line="240" w:lineRule="auto"/>
    </w:pPr>
    <w:rPr>
      <w:rFonts w:ascii=".AppleSystemUIFont" w:hAnsi=".AppleSystemUIFont" w:eastAsia="Times New Roman" w:cs="Times New Roman"/>
      <w:kern w:val="0"/>
      <w:sz w:val="26"/>
      <w:szCs w:val="26"/>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659</Words>
  <Characters>4343</Characters>
  <Lines>68</Lines>
  <Paragraphs>17</Paragraphs>
  <TotalTime>6</TotalTime>
  <ScaleCrop>false</ScaleCrop>
  <LinksUpToDate>false</LinksUpToDate>
  <CharactersWithSpaces>4986</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2026-08-20T20:47:00Z</dcterms:created>
  <dc:creator>浩 刘</dc:creator>
  <cp:lastModifiedBy>柯月怡</cp:lastModifiedBy>
  <dcterms:modified xsi:type="dcterms:W3CDTF">2026-10-15T09:20:01Z</dcterms:modified>
  <cp:revision>171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EDB8AE2EE5CD4BD189B4104679E4FA8E_13</vt:lpwstr>
  </property>
</Properties>
</file>