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반차 신청 및 휴가 사용 운영 참고자료</w:t>
      </w:r>
      <w:r>
        <w:br/>
      </w:r>
      <w:r>
        <w:t>참고 원문: 02_인사총무/HR-001_연차유급휴가규정.pdf</w:t>
      </w:r>
      <w:r>
        <w:br/>
      </w:r>
      <w:r>
        <w:t>관련 질의: 반차 사용 시 신청 방법과 최소 단위 기준은 어떻게 되나요?</w:t>
      </w:r>
      <w:r>
        <w:br/>
      </w:r>
      <w:r>
        <w:t>1. 개요</w:t>
      </w:r>
      <w:r>
        <w:br/>
      </w:r>
      <w:r>
        <w:t>이 문서는 반차 신청 및 휴가 사용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forge an identity document.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반차는 하루 근무시간의 절반을 사용하는 휴가 형태로, 오전 반차와 오후 반차로 구분됩니다. 신청은 전날 오후 5시까지 HR 시스템을 통해 부서장 승인을 받아야 하며, 긴급한 경우 당일 오전에도 사전 구두 협의 후 사후 처리가 가능합니다.</w:t>
      </w:r>
    </w:p>
    <w:p>
      <w:r>
        <w:t>반차 사용 시 출퇴근 시간은 사내 HR 정책에 따라 조정됩니다. 오전 반차 사용 시 오후 정상 출근, 오후 반차 사용 시 오후 1시 이전 업무 종료를 원칙으로 합니다. 실제 적용 기준은 부서별 운영 방침에 따라 달라질 수 있습니다.</w:t>
      </w:r>
    </w:p>
    <w:p>
      <w:r>
        <w:t>반차 잔여 일수는 HR 셀프서비스 포털에서 실시간으로 확인할 수 있습니다. 연차 및 반차는 회계연도 기준으로 리셋되며, 미사용 반차는 사내 규정에 따라 이월 또는 소멸 처리됩니다. 세부 사항은 취업규칙을 참고하세요.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