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32"/>
                <w:szCs w:val="32"/>
              </w:rPr>
              <w:t xml:space="preserve">성과 평가 및 보상 제도 운영 규정</w:t>
            </w:r>
          </w:p>
        </w:tc>
      </w:tr>
      <w:tr>
        <w:tc>
          <w:tcPr>
            <w:tcW w:type="dxa" w:w="9026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맑은 고딕" w:cs="맑은 고딕" w:eastAsia="맑은 고딕" w:hAnsi="맑은 고딕"/>
                <w:color w:val="5B6E8A"/>
                <w:sz w:val="18"/>
                <w:szCs w:val="18"/>
              </w:rPr>
              <w:t xml:space="preserve">문서번호: HR-2024-004  |  발행부서: 인사팀  |  시행일: 2024년 1월 1일</w:t>
            </w:r>
          </w:p>
        </w:tc>
      </w:tr>
    </w:tbl>
    <w:p>
      <w:pPr>
        <w:spacing w:after="0" w:before="16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제1조 (목적)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규정은 공정하고 투명한 성과 평가 체계를 수립하고 이를 보상과 연계하여 임직원의 동기 부여 및 조직 성과 향상을 도모함을 목적으로 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제2조 (평가 주기 및 대상)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성과 평가는 연 2회 실시한다. 상반기 평가는 7월, 하반기 평가는 1월에 진행되며, 입사 후 3개월 이상 근무한 전 임직원을 대상으로 한다.</w:t>
      </w: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제3조 (평가 항목 및 배점)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2526"/>
      </w:tblGrid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평가 항목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평가 방법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업무 성과(KPI 달성)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50점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정량 지표 기반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업무 역량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30점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팀장 정성 평가</w:t>
            </w:r>
          </w:p>
        </w:tc>
      </w:tr>
      <w:tr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조직 기여도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20점</w:t>
            </w:r>
          </w:p>
        </w:tc>
        <w:tc>
          <w:tcPr>
            <w:tcW w:type="dxa" w:w="4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동료 평가 반영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제4조 (등급 분류)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점수 범위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S (탁월)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90점 이상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상위 10%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A (우수)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80~89점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상위 20%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B (양호)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70~79점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중위 40%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C (보통)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60~69점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EAF0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하위 20%</w:t>
            </w:r>
          </w:p>
        </w:tc>
      </w:tr>
      <w:tr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D (미흡)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60점 미만</w:t>
            </w:r>
          </w:p>
        </w:tc>
        <w:tc>
          <w:tcPr>
            <w:tcW w:type="dxa" w:w="3000"/>
            <w:tcBorders>
              <w:top w:val="single" w:color="C8D5E5" w:sz="1"/>
              <w:left w:val="single" w:color="C8D5E5" w:sz="1"/>
              <w:bottom w:val="single" w:color="C8D5E5" w:sz="1"/>
              <w:right w:val="single" w:color="C8D5E5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20"/>
                <w:szCs w:val="20"/>
              </w:rPr>
              <w:t xml:space="preserve">하위 10%</w:t>
            </w:r>
          </w:p>
        </w:tc>
      </w:tr>
    </w:tbl>
    <w:p>
      <w:pPr>
        <w:spacing w:after="80" w:before="80"/>
      </w:pPr>
    </w:p>
    <w:p>
      <w:pPr>
        <w:pStyle w:val="Heading1"/>
      </w:pPr>
      <w:r>
        <w:rPr>
          <w:rFonts w:ascii="맑은 고딕" w:cs="맑은 고딕" w:eastAsia="맑은 고딕" w:hAnsi="맑은 고딕"/>
        </w:rPr>
        <w:t xml:space="preserve">제5조 (보상 연계)</w:t>
      </w:r>
    </w:p>
    <w:p>
      <w:pPr>
        <w:spacing w:after="80" w:before="40"/>
      </w:pPr>
      <w:r>
        <w:rPr>
          <w:rFonts w:ascii="맑은 고딕" w:cs="맑은 고딕" w:eastAsia="맑은 고딕" w:hAnsi="맑은 고딕"/>
          <w:sz w:val="22"/>
          <w:szCs w:val="22"/>
        </w:rPr>
        <w:t xml:space="preserve">연봉 인상률은 평가 등급에 따라 차등 적용된다. S등급 8~10%, A등급 5~7%, B등급 3~4%, C등급 1~2%, D등급 동결 또는 삭감. 성과급은 상반기 기본급의 0~200% 범위에서 지급된다.</w:t>
      </w:r>
    </w:p>
    <w:p>
      <w:pPr>
        <w:spacing w:after="80" w:before="80"/>
      </w:pPr>
    </w:p>
    <w:p>
      <w:pPr>
        <w:spacing w:after="60" w:before="40"/>
      </w:pPr>
      <w:r>
        <w:rPr>
          <w:rFonts w:ascii="맑은 고딕" w:cs="맑은 고딕" w:eastAsia="맑은 고딕" w:hAnsi="맑은 고딕"/>
          <w:i/>
          <w:iCs/>
          <w:color w:val="5B6E8A"/>
          <w:sz w:val="18"/>
          <w:szCs w:val="18"/>
        </w:rPr>
        <w:t xml:space="preserve">문의: 인사팀 내선 1234 / hr@company.com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맑은 고딕" w:cs="맑은 고딕" w:eastAsia="맑은 고딕" w:hAnsi="맑은 고딕"/>
      <w:b/>
      <w:bCs/>
      <w:color w:val="1B2A4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60"/>
      <w:outlineLvl w:val="1"/>
    </w:pPr>
    <w:rPr>
      <w:rFonts w:ascii="맑은 고딕" w:cs="맑은 고딕" w:eastAsia="맑은 고딕" w:hAnsi="맑은 고딕"/>
      <w:b/>
      <w:bCs/>
      <w:color w:val="5B6E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2026-04-03T13:21:48.177Z</dcterms:created>
  <dcterms:modified xsi:type="dcterms:W3CDTF">2026-04-03T13:21:48.177Z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