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9395" w14:textId="3A2364FD" w:rsidR="0012158A" w:rsidRPr="0012158A" w:rsidRDefault="0012158A" w:rsidP="0012158A">
      <w:pPr>
        <w:pStyle w:val="Nagwek1"/>
        <w:rPr>
          <w:color w:val="0D0D0D" w:themeColor="text1" w:themeTint="F2"/>
          <w:sz w:val="40"/>
          <w:szCs w:val="40"/>
        </w:rPr>
      </w:pPr>
      <w:r w:rsidRPr="0012158A">
        <w:rPr>
          <w:color w:val="0D0D0D" w:themeColor="text1" w:themeTint="F2"/>
          <w:sz w:val="40"/>
          <w:szCs w:val="40"/>
        </w:rPr>
        <w:t>Patryk Szymkowiak</w:t>
      </w:r>
    </w:p>
    <w:p w14:paraId="7AE6199E" w14:textId="20D5499F" w:rsidR="0012158A" w:rsidRDefault="0012158A" w:rsidP="0012158A">
      <w:pPr>
        <w:pStyle w:val="Nagwek1"/>
        <w:rPr>
          <w:color w:val="0D0D0D" w:themeColor="text1" w:themeTint="F2"/>
          <w:sz w:val="40"/>
          <w:szCs w:val="40"/>
        </w:rPr>
      </w:pPr>
      <w:r w:rsidRPr="0012158A">
        <w:rPr>
          <w:color w:val="0D0D0D" w:themeColor="text1" w:themeTint="F2"/>
          <w:sz w:val="40"/>
          <w:szCs w:val="40"/>
        </w:rPr>
        <w:t>Krzysztof Ignasiak</w:t>
      </w:r>
    </w:p>
    <w:p w14:paraId="31761202" w14:textId="77777777" w:rsidR="00F00BDF" w:rsidRPr="00F00BDF" w:rsidRDefault="00F00BDF" w:rsidP="00F00BDF"/>
    <w:p w14:paraId="74B915C0" w14:textId="76084C16" w:rsidR="0012158A" w:rsidRPr="0012158A" w:rsidRDefault="0012158A" w:rsidP="0012158A">
      <w:pPr>
        <w:pStyle w:val="Nagwek1"/>
        <w:jc w:val="center"/>
        <w:rPr>
          <w:color w:val="0D0D0D" w:themeColor="text1" w:themeTint="F2"/>
          <w:sz w:val="48"/>
          <w:szCs w:val="48"/>
        </w:rPr>
      </w:pPr>
      <w:r w:rsidRPr="0012158A">
        <w:rPr>
          <w:color w:val="0D0D0D" w:themeColor="text1" w:themeTint="F2"/>
          <w:sz w:val="48"/>
          <w:szCs w:val="48"/>
        </w:rPr>
        <w:t>Epidemia Covid-19 a prognozowanie miar ryzyka rynkowego</w:t>
      </w:r>
    </w:p>
    <w:p w14:paraId="1D1EA20D" w14:textId="77777777" w:rsidR="0012158A" w:rsidRDefault="0012158A" w:rsidP="00086350">
      <w:pPr>
        <w:pStyle w:val="Nagwek1"/>
      </w:pPr>
    </w:p>
    <w:p w14:paraId="771EDA43" w14:textId="77777777" w:rsidR="0012158A" w:rsidRDefault="0012158A" w:rsidP="00086350">
      <w:pPr>
        <w:pStyle w:val="Nagwek1"/>
      </w:pPr>
    </w:p>
    <w:p w14:paraId="50EB4078" w14:textId="77777777" w:rsidR="0012158A" w:rsidRDefault="0012158A" w:rsidP="00086350">
      <w:pPr>
        <w:pStyle w:val="Nagwek1"/>
      </w:pPr>
    </w:p>
    <w:p w14:paraId="7FD2D5C5" w14:textId="77777777" w:rsidR="0012158A" w:rsidRDefault="0012158A" w:rsidP="00086350">
      <w:pPr>
        <w:pStyle w:val="Nagwek1"/>
      </w:pPr>
    </w:p>
    <w:p w14:paraId="36087DA1" w14:textId="77777777" w:rsidR="0012158A" w:rsidRDefault="0012158A" w:rsidP="00086350">
      <w:pPr>
        <w:pStyle w:val="Nagwek1"/>
      </w:pPr>
    </w:p>
    <w:p w14:paraId="64F12937" w14:textId="77777777" w:rsidR="0012158A" w:rsidRDefault="0012158A" w:rsidP="00086350">
      <w:pPr>
        <w:pStyle w:val="Nagwek1"/>
      </w:pPr>
    </w:p>
    <w:p w14:paraId="7C0DDA36" w14:textId="77777777" w:rsidR="0012158A" w:rsidRDefault="0012158A" w:rsidP="00086350">
      <w:pPr>
        <w:pStyle w:val="Nagwek1"/>
      </w:pPr>
    </w:p>
    <w:p w14:paraId="5662F974" w14:textId="77777777" w:rsidR="0012158A" w:rsidRDefault="0012158A" w:rsidP="00086350">
      <w:pPr>
        <w:pStyle w:val="Nagwek1"/>
      </w:pPr>
    </w:p>
    <w:p w14:paraId="20CD6416" w14:textId="77777777" w:rsidR="0012158A" w:rsidRDefault="0012158A" w:rsidP="00086350">
      <w:pPr>
        <w:pStyle w:val="Nagwek1"/>
      </w:pPr>
    </w:p>
    <w:p w14:paraId="5432A279" w14:textId="77777777" w:rsidR="0012158A" w:rsidRDefault="0012158A" w:rsidP="00086350">
      <w:pPr>
        <w:pStyle w:val="Nagwek1"/>
      </w:pPr>
    </w:p>
    <w:p w14:paraId="6DAA5202" w14:textId="77777777" w:rsidR="0012158A" w:rsidRDefault="0012158A" w:rsidP="00086350">
      <w:pPr>
        <w:pStyle w:val="Nagwek1"/>
      </w:pPr>
    </w:p>
    <w:p w14:paraId="6FE1F695" w14:textId="77777777" w:rsidR="0012158A" w:rsidRDefault="0012158A" w:rsidP="00086350">
      <w:pPr>
        <w:pStyle w:val="Nagwek1"/>
      </w:pPr>
    </w:p>
    <w:p w14:paraId="6B5DCDF7" w14:textId="77777777" w:rsidR="0012158A" w:rsidRDefault="0012158A" w:rsidP="00086350">
      <w:pPr>
        <w:pStyle w:val="Nagwek1"/>
      </w:pPr>
    </w:p>
    <w:p w14:paraId="658DF405" w14:textId="77777777" w:rsidR="0012158A" w:rsidRDefault="0012158A" w:rsidP="00086350">
      <w:pPr>
        <w:pStyle w:val="Nagwek1"/>
      </w:pPr>
    </w:p>
    <w:p w14:paraId="23030104" w14:textId="663BE2ED" w:rsidR="0012158A" w:rsidRDefault="0012158A" w:rsidP="00086350">
      <w:pPr>
        <w:pStyle w:val="Nagwek1"/>
      </w:pPr>
    </w:p>
    <w:p w14:paraId="227D91B7" w14:textId="77777777" w:rsidR="0012158A" w:rsidRPr="0012158A" w:rsidRDefault="0012158A" w:rsidP="0012158A"/>
    <w:p w14:paraId="30B266F2" w14:textId="62243B47" w:rsidR="00086350" w:rsidRDefault="00086350" w:rsidP="00086350">
      <w:pPr>
        <w:pStyle w:val="Nagwek1"/>
      </w:pPr>
      <w:r>
        <w:lastRenderedPageBreak/>
        <w:t>Wprowadzenie</w:t>
      </w:r>
    </w:p>
    <w:p w14:paraId="26DC006E" w14:textId="61093428" w:rsidR="00086350" w:rsidRDefault="00086350" w:rsidP="00086350"/>
    <w:p w14:paraId="7F116CA0" w14:textId="13CE0439" w:rsidR="008D702A" w:rsidRPr="00582C13" w:rsidRDefault="00086350" w:rsidP="008D702A">
      <w:pPr>
        <w:jc w:val="both"/>
        <w:rPr>
          <w:sz w:val="24"/>
          <w:szCs w:val="24"/>
        </w:rPr>
      </w:pPr>
      <w:r w:rsidRPr="00582C13">
        <w:rPr>
          <w:sz w:val="24"/>
          <w:szCs w:val="24"/>
        </w:rPr>
        <w:t>Niewątpliwe zdarzeniem definiującym końcówkę roku 2019 jak i rok 2020 oraz 2021 jest pandemia Covid-19. Gwałtowny rozwój nowego wirusa spowodował drastyczne zmiany w życiu wielu milionów ludzi jak i w funkcjonowaniu gospodarek. W wiel</w:t>
      </w:r>
      <w:r w:rsidR="00A34783" w:rsidRPr="00582C13">
        <w:rPr>
          <w:sz w:val="24"/>
          <w:szCs w:val="24"/>
        </w:rPr>
        <w:t>u</w:t>
      </w:r>
      <w:r w:rsidRPr="00582C13">
        <w:rPr>
          <w:sz w:val="24"/>
          <w:szCs w:val="24"/>
        </w:rPr>
        <w:t xml:space="preserve"> państwach nakłada</w:t>
      </w:r>
      <w:r w:rsidR="00DA1CCB" w:rsidRPr="00582C13">
        <w:rPr>
          <w:sz w:val="24"/>
          <w:szCs w:val="24"/>
        </w:rPr>
        <w:t>ło</w:t>
      </w:r>
      <w:r w:rsidR="00A34783" w:rsidRPr="00582C13">
        <w:rPr>
          <w:sz w:val="24"/>
          <w:szCs w:val="24"/>
        </w:rPr>
        <w:t xml:space="preserve"> się</w:t>
      </w:r>
      <w:r w:rsidRPr="00582C13">
        <w:rPr>
          <w:sz w:val="24"/>
          <w:szCs w:val="24"/>
        </w:rPr>
        <w:t xml:space="preserve"> szeregi obostrze</w:t>
      </w:r>
      <w:r w:rsidR="008D702A" w:rsidRPr="00582C13">
        <w:rPr>
          <w:sz w:val="24"/>
          <w:szCs w:val="24"/>
        </w:rPr>
        <w:t>ń i ogranicz</w:t>
      </w:r>
      <w:r w:rsidR="00C42C01" w:rsidRPr="00582C13">
        <w:rPr>
          <w:sz w:val="24"/>
          <w:szCs w:val="24"/>
        </w:rPr>
        <w:t>ało swobodę</w:t>
      </w:r>
      <w:r w:rsidR="008D702A" w:rsidRPr="00582C13">
        <w:rPr>
          <w:sz w:val="24"/>
          <w:szCs w:val="24"/>
        </w:rPr>
        <w:t xml:space="preserve"> działalnoś</w:t>
      </w:r>
      <w:r w:rsidR="00C42C01" w:rsidRPr="00582C13">
        <w:rPr>
          <w:sz w:val="24"/>
          <w:szCs w:val="24"/>
        </w:rPr>
        <w:t>ci</w:t>
      </w:r>
      <w:r w:rsidR="008D702A" w:rsidRPr="00582C13">
        <w:rPr>
          <w:sz w:val="24"/>
          <w:szCs w:val="24"/>
        </w:rPr>
        <w:t xml:space="preserve"> gospodarcz</w:t>
      </w:r>
      <w:r w:rsidR="00C42C01" w:rsidRPr="00582C13">
        <w:rPr>
          <w:sz w:val="24"/>
          <w:szCs w:val="24"/>
        </w:rPr>
        <w:t>ej</w:t>
      </w:r>
      <w:r w:rsidR="008D702A" w:rsidRPr="00582C13">
        <w:rPr>
          <w:sz w:val="24"/>
          <w:szCs w:val="24"/>
        </w:rPr>
        <w:t xml:space="preserve"> w celu redukcji transmisji wirusa. Epidemi</w:t>
      </w:r>
      <w:r w:rsidR="00C42C01" w:rsidRPr="00582C13">
        <w:rPr>
          <w:sz w:val="24"/>
          <w:szCs w:val="24"/>
        </w:rPr>
        <w:t>ę</w:t>
      </w:r>
      <w:r w:rsidR="008D702A" w:rsidRPr="00582C13">
        <w:rPr>
          <w:sz w:val="24"/>
          <w:szCs w:val="24"/>
        </w:rPr>
        <w:t xml:space="preserve"> Sars</w:t>
      </w:r>
      <w:r w:rsidR="00C42C01" w:rsidRPr="00582C13">
        <w:rPr>
          <w:sz w:val="24"/>
          <w:szCs w:val="24"/>
        </w:rPr>
        <w:t>C</w:t>
      </w:r>
      <w:r w:rsidR="008D702A" w:rsidRPr="00582C13">
        <w:rPr>
          <w:sz w:val="24"/>
          <w:szCs w:val="24"/>
        </w:rPr>
        <w:t xml:space="preserve">ov-2 można by uznać za klasyczny przykład czarnego łabędzia. Pojęcie to wprowadzone </w:t>
      </w:r>
      <w:r w:rsidR="00A34783" w:rsidRPr="00582C13">
        <w:rPr>
          <w:sz w:val="24"/>
          <w:szCs w:val="24"/>
        </w:rPr>
        <w:t xml:space="preserve">przez </w:t>
      </w:r>
      <w:r w:rsidR="008D702A" w:rsidRPr="00582C13">
        <w:rPr>
          <w:sz w:val="24"/>
          <w:szCs w:val="24"/>
        </w:rPr>
        <w:t xml:space="preserve">amerykańskiego ekonomistę i filozofa </w:t>
      </w:r>
      <w:proofErr w:type="spellStart"/>
      <w:r w:rsidR="008D702A" w:rsidRPr="00582C13">
        <w:rPr>
          <w:sz w:val="24"/>
          <w:szCs w:val="24"/>
        </w:rPr>
        <w:t>Nassima</w:t>
      </w:r>
      <w:proofErr w:type="spellEnd"/>
      <w:r w:rsidR="008D702A" w:rsidRPr="00582C13">
        <w:rPr>
          <w:sz w:val="24"/>
          <w:szCs w:val="24"/>
        </w:rPr>
        <w:t xml:space="preserve"> Nicholasa </w:t>
      </w:r>
      <w:proofErr w:type="spellStart"/>
      <w:r w:rsidR="008D702A" w:rsidRPr="00582C13">
        <w:rPr>
          <w:sz w:val="24"/>
          <w:szCs w:val="24"/>
        </w:rPr>
        <w:t>Taleba</w:t>
      </w:r>
      <w:proofErr w:type="spellEnd"/>
      <w:r w:rsidR="00A34783" w:rsidRPr="00582C13">
        <w:rPr>
          <w:sz w:val="24"/>
          <w:szCs w:val="24"/>
        </w:rPr>
        <w:t xml:space="preserve"> </w:t>
      </w:r>
      <w:r w:rsidR="008D702A" w:rsidRPr="00582C13">
        <w:rPr>
          <w:sz w:val="24"/>
          <w:szCs w:val="24"/>
        </w:rPr>
        <w:t>(</w:t>
      </w:r>
      <w:r w:rsidR="001A20B4" w:rsidRPr="00582C13">
        <w:rPr>
          <w:sz w:val="24"/>
          <w:szCs w:val="24"/>
        </w:rPr>
        <w:t>2014</w:t>
      </w:r>
      <w:r w:rsidR="008D702A" w:rsidRPr="00582C13">
        <w:rPr>
          <w:sz w:val="24"/>
          <w:szCs w:val="24"/>
        </w:rPr>
        <w:t>)</w:t>
      </w:r>
      <w:r w:rsidR="001A20B4" w:rsidRPr="00582C13">
        <w:rPr>
          <w:sz w:val="24"/>
          <w:szCs w:val="24"/>
        </w:rPr>
        <w:t xml:space="preserve"> </w:t>
      </w:r>
      <w:r w:rsidR="008D702A" w:rsidRPr="00582C13">
        <w:rPr>
          <w:sz w:val="24"/>
          <w:szCs w:val="24"/>
        </w:rPr>
        <w:t>określa zjawisko, które</w:t>
      </w:r>
      <w:r w:rsidR="00A34783" w:rsidRPr="00582C13">
        <w:rPr>
          <w:sz w:val="24"/>
          <w:szCs w:val="24"/>
        </w:rPr>
        <w:t>go</w:t>
      </w:r>
      <w:r w:rsidR="008D702A" w:rsidRPr="00582C13">
        <w:rPr>
          <w:sz w:val="24"/>
          <w:szCs w:val="24"/>
        </w:rPr>
        <w:t xml:space="preserve"> zajście jest praktycznie niemożliwe do przewidzenia, a jednocześnie</w:t>
      </w:r>
      <w:r w:rsidR="00A34783" w:rsidRPr="00582C13">
        <w:rPr>
          <w:sz w:val="24"/>
          <w:szCs w:val="24"/>
        </w:rPr>
        <w:t xml:space="preserve"> </w:t>
      </w:r>
      <w:r w:rsidR="008D702A" w:rsidRPr="00582C13">
        <w:rPr>
          <w:sz w:val="24"/>
          <w:szCs w:val="24"/>
        </w:rPr>
        <w:t xml:space="preserve">ma ogromny wpływ na rzeczywistość. Jednakże należy mieć na uwadze, że sam autor tego </w:t>
      </w:r>
      <w:r w:rsidR="00C42C01" w:rsidRPr="00582C13">
        <w:rPr>
          <w:sz w:val="24"/>
          <w:szCs w:val="24"/>
        </w:rPr>
        <w:t>pojęcia</w:t>
      </w:r>
      <w:r w:rsidR="008D702A" w:rsidRPr="00582C13">
        <w:rPr>
          <w:sz w:val="24"/>
          <w:szCs w:val="24"/>
        </w:rPr>
        <w:t xml:space="preserve"> traktuje epidemi</w:t>
      </w:r>
      <w:r w:rsidR="00A34783" w:rsidRPr="00582C13">
        <w:rPr>
          <w:sz w:val="24"/>
          <w:szCs w:val="24"/>
        </w:rPr>
        <w:t>ę</w:t>
      </w:r>
      <w:r w:rsidR="008D702A" w:rsidRPr="00582C13">
        <w:rPr>
          <w:sz w:val="24"/>
          <w:szCs w:val="24"/>
        </w:rPr>
        <w:t xml:space="preserve"> </w:t>
      </w:r>
      <w:proofErr w:type="spellStart"/>
      <w:r w:rsidR="00A34783" w:rsidRPr="00582C13">
        <w:rPr>
          <w:sz w:val="24"/>
          <w:szCs w:val="24"/>
        </w:rPr>
        <w:t>k</w:t>
      </w:r>
      <w:r w:rsidR="008D702A" w:rsidRPr="00582C13">
        <w:rPr>
          <w:sz w:val="24"/>
          <w:szCs w:val="24"/>
        </w:rPr>
        <w:t>oronawirusa</w:t>
      </w:r>
      <w:proofErr w:type="spellEnd"/>
      <w:r w:rsidR="008D702A" w:rsidRPr="00582C13">
        <w:rPr>
          <w:sz w:val="24"/>
          <w:szCs w:val="24"/>
        </w:rPr>
        <w:t xml:space="preserve"> bardziej jak szarego </w:t>
      </w:r>
      <w:r w:rsidR="00A34783" w:rsidRPr="00582C13">
        <w:rPr>
          <w:sz w:val="24"/>
          <w:szCs w:val="24"/>
        </w:rPr>
        <w:t>n</w:t>
      </w:r>
      <w:r w:rsidR="008D702A" w:rsidRPr="00582C13">
        <w:rPr>
          <w:sz w:val="24"/>
          <w:szCs w:val="24"/>
        </w:rPr>
        <w:t>osorożca</w:t>
      </w:r>
      <w:r w:rsidR="00A34783" w:rsidRPr="00582C13">
        <w:rPr>
          <w:sz w:val="24"/>
          <w:szCs w:val="24"/>
        </w:rPr>
        <w:t>,</w:t>
      </w:r>
      <w:r w:rsidR="008D702A" w:rsidRPr="00582C13">
        <w:rPr>
          <w:sz w:val="24"/>
          <w:szCs w:val="24"/>
        </w:rPr>
        <w:t xml:space="preserve"> czyli zdarzenie, które było prawdopodobne, a jego skutki były przez pewien czas bagatelizowane</w:t>
      </w:r>
      <w:r w:rsidR="00A34783" w:rsidRPr="00582C13">
        <w:rPr>
          <w:sz w:val="24"/>
          <w:szCs w:val="24"/>
        </w:rPr>
        <w:t xml:space="preserve"> </w:t>
      </w:r>
      <w:r w:rsidR="008D702A" w:rsidRPr="00582C13">
        <w:rPr>
          <w:sz w:val="24"/>
          <w:szCs w:val="24"/>
        </w:rPr>
        <w:t>(</w:t>
      </w:r>
      <w:proofErr w:type="spellStart"/>
      <w:r w:rsidR="000354BB" w:rsidRPr="00582C13">
        <w:rPr>
          <w:sz w:val="24"/>
          <w:szCs w:val="24"/>
        </w:rPr>
        <w:t>Mielech</w:t>
      </w:r>
      <w:proofErr w:type="spellEnd"/>
      <w:r w:rsidR="000354BB" w:rsidRPr="00582C13">
        <w:rPr>
          <w:sz w:val="24"/>
          <w:szCs w:val="24"/>
        </w:rPr>
        <w:t>, 2020</w:t>
      </w:r>
      <w:r w:rsidR="008D702A" w:rsidRPr="00582C13">
        <w:rPr>
          <w:sz w:val="24"/>
          <w:szCs w:val="24"/>
        </w:rPr>
        <w:t xml:space="preserve">). </w:t>
      </w:r>
    </w:p>
    <w:p w14:paraId="5344E1F5" w14:textId="4620BBFE" w:rsidR="00C42C01" w:rsidRPr="00582C13" w:rsidRDefault="008D702A" w:rsidP="000354BB">
      <w:pPr>
        <w:jc w:val="both"/>
        <w:rPr>
          <w:sz w:val="24"/>
          <w:szCs w:val="24"/>
        </w:rPr>
      </w:pPr>
      <w:r w:rsidRPr="00582C13">
        <w:rPr>
          <w:sz w:val="24"/>
          <w:szCs w:val="24"/>
        </w:rPr>
        <w:t>Nasuwa się zatem pytanie</w:t>
      </w:r>
      <w:r w:rsidR="00A34783" w:rsidRPr="00582C13">
        <w:rPr>
          <w:sz w:val="24"/>
          <w:szCs w:val="24"/>
        </w:rPr>
        <w:t>,</w:t>
      </w:r>
      <w:r w:rsidRPr="00582C13">
        <w:rPr>
          <w:sz w:val="24"/>
          <w:szCs w:val="24"/>
        </w:rPr>
        <w:t xml:space="preserve"> czy w tak niespokojnym okresie możliwe jest skuteczne zarządzanie ryzykiem rynkowym z wykorzystaniem klasycznych miar</w:t>
      </w:r>
      <w:r w:rsidR="00A34783" w:rsidRPr="00582C13">
        <w:rPr>
          <w:sz w:val="24"/>
          <w:szCs w:val="24"/>
        </w:rPr>
        <w:t>.</w:t>
      </w:r>
      <w:r w:rsidR="00C42C01" w:rsidRPr="00582C13">
        <w:rPr>
          <w:sz w:val="24"/>
          <w:szCs w:val="24"/>
        </w:rPr>
        <w:t xml:space="preserve"> W szczególności mając na uwadze zarzuty, że miary te opisują ryzyko przy normalnym/standardowym funkcjonowaniu rynku finansowego</w:t>
      </w:r>
      <w:r w:rsidR="00A34783" w:rsidRPr="00582C13">
        <w:rPr>
          <w:sz w:val="24"/>
          <w:szCs w:val="24"/>
        </w:rPr>
        <w:t xml:space="preserve"> </w:t>
      </w:r>
      <w:r w:rsidR="00C42C01" w:rsidRPr="00582C13">
        <w:rPr>
          <w:sz w:val="24"/>
          <w:szCs w:val="24"/>
        </w:rPr>
        <w:t>(</w:t>
      </w:r>
      <w:proofErr w:type="spellStart"/>
      <w:r w:rsidR="00A34783" w:rsidRPr="00582C13">
        <w:rPr>
          <w:sz w:val="24"/>
          <w:szCs w:val="24"/>
        </w:rPr>
        <w:t>Kuziak</w:t>
      </w:r>
      <w:proofErr w:type="spellEnd"/>
      <w:r w:rsidR="00A34783" w:rsidRPr="00582C13">
        <w:rPr>
          <w:sz w:val="24"/>
          <w:szCs w:val="24"/>
        </w:rPr>
        <w:t>, 2003</w:t>
      </w:r>
      <w:r w:rsidR="00C42C01" w:rsidRPr="00582C13">
        <w:rPr>
          <w:sz w:val="24"/>
          <w:szCs w:val="24"/>
        </w:rPr>
        <w:t>).</w:t>
      </w:r>
    </w:p>
    <w:p w14:paraId="69478497" w14:textId="0DAE2EC0" w:rsidR="00086350" w:rsidRPr="00582C13" w:rsidRDefault="006C5054" w:rsidP="000354BB">
      <w:pPr>
        <w:jc w:val="both"/>
        <w:rPr>
          <w:sz w:val="24"/>
          <w:szCs w:val="24"/>
        </w:rPr>
      </w:pPr>
      <w:r w:rsidRPr="00582C13">
        <w:rPr>
          <w:sz w:val="24"/>
          <w:szCs w:val="24"/>
        </w:rPr>
        <w:t>W niniejszej pracy postanowiliśmy to sprawdzić w kontekście wartości zagrożonej (</w:t>
      </w:r>
      <w:r w:rsidR="00C42C01" w:rsidRPr="00582C13">
        <w:rPr>
          <w:sz w:val="24"/>
          <w:szCs w:val="24"/>
        </w:rPr>
        <w:t xml:space="preserve">ang. </w:t>
      </w:r>
      <w:r w:rsidRPr="00582C13">
        <w:rPr>
          <w:sz w:val="24"/>
          <w:szCs w:val="24"/>
        </w:rPr>
        <w:t xml:space="preserve">Value </w:t>
      </w:r>
      <w:proofErr w:type="spellStart"/>
      <w:r w:rsidRPr="00582C13">
        <w:rPr>
          <w:sz w:val="24"/>
          <w:szCs w:val="24"/>
        </w:rPr>
        <w:t>at</w:t>
      </w:r>
      <w:proofErr w:type="spellEnd"/>
      <w:r w:rsidRPr="00582C13">
        <w:rPr>
          <w:sz w:val="24"/>
          <w:szCs w:val="24"/>
        </w:rPr>
        <w:t xml:space="preserve"> </w:t>
      </w:r>
      <w:proofErr w:type="spellStart"/>
      <w:r w:rsidRPr="00582C13">
        <w:rPr>
          <w:sz w:val="24"/>
          <w:szCs w:val="24"/>
        </w:rPr>
        <w:t>Risk</w:t>
      </w:r>
      <w:proofErr w:type="spellEnd"/>
      <w:r w:rsidRPr="00582C13">
        <w:rPr>
          <w:sz w:val="24"/>
          <w:szCs w:val="24"/>
        </w:rPr>
        <w:t>) oraz mediany przekroczeń</w:t>
      </w:r>
      <w:r w:rsidR="00A34783" w:rsidRPr="00582C13">
        <w:rPr>
          <w:sz w:val="24"/>
          <w:szCs w:val="24"/>
        </w:rPr>
        <w:t xml:space="preserve"> </w:t>
      </w:r>
      <w:r w:rsidRPr="00582C13">
        <w:rPr>
          <w:sz w:val="24"/>
          <w:szCs w:val="24"/>
        </w:rPr>
        <w:t>(</w:t>
      </w:r>
      <w:r w:rsidR="00C42C01" w:rsidRPr="00582C13">
        <w:rPr>
          <w:sz w:val="24"/>
          <w:szCs w:val="24"/>
        </w:rPr>
        <w:t>ang.</w:t>
      </w:r>
      <w:r w:rsidR="00A34783" w:rsidRPr="00582C13">
        <w:rPr>
          <w:sz w:val="24"/>
          <w:szCs w:val="24"/>
        </w:rPr>
        <w:t xml:space="preserve"> </w:t>
      </w:r>
      <w:r w:rsidRPr="00582C13">
        <w:rPr>
          <w:sz w:val="24"/>
          <w:szCs w:val="24"/>
        </w:rPr>
        <w:t xml:space="preserve">Median </w:t>
      </w:r>
      <w:proofErr w:type="spellStart"/>
      <w:r w:rsidRPr="00582C13">
        <w:rPr>
          <w:sz w:val="24"/>
          <w:szCs w:val="24"/>
        </w:rPr>
        <w:t>Shortfall</w:t>
      </w:r>
      <w:proofErr w:type="spellEnd"/>
      <w:r w:rsidRPr="00582C13">
        <w:rPr>
          <w:sz w:val="24"/>
          <w:szCs w:val="24"/>
        </w:rPr>
        <w:t xml:space="preserve">) oszacowanych z wykorzystaniem teorii wartości ekstremalnych na dziennych prostych stopach zwrotu z indeksu NASDAQ </w:t>
      </w:r>
      <w:proofErr w:type="spellStart"/>
      <w:r w:rsidRPr="00582C13">
        <w:rPr>
          <w:sz w:val="24"/>
          <w:szCs w:val="24"/>
        </w:rPr>
        <w:t>Composite</w:t>
      </w:r>
      <w:proofErr w:type="spellEnd"/>
      <w:r w:rsidRPr="00582C13">
        <w:rPr>
          <w:sz w:val="24"/>
          <w:szCs w:val="24"/>
        </w:rPr>
        <w:t xml:space="preserve"> z okresu od 22.04.2019 do 21.05.2021.</w:t>
      </w:r>
    </w:p>
    <w:p w14:paraId="360FFC1D" w14:textId="2FE34E0C" w:rsidR="00086350" w:rsidRDefault="006C5054" w:rsidP="006C5054">
      <w:pPr>
        <w:pStyle w:val="Nagwek1"/>
      </w:pPr>
      <w:r>
        <w:t>Miary zagrożenia</w:t>
      </w:r>
    </w:p>
    <w:p w14:paraId="319477C0" w14:textId="70D79811" w:rsidR="006C5054" w:rsidRPr="00582C13" w:rsidRDefault="006C5054" w:rsidP="00582C13">
      <w:pPr>
        <w:jc w:val="both"/>
        <w:rPr>
          <w:sz w:val="24"/>
          <w:szCs w:val="24"/>
        </w:rPr>
      </w:pPr>
      <w:r w:rsidRPr="00582C13">
        <w:rPr>
          <w:sz w:val="24"/>
          <w:szCs w:val="24"/>
        </w:rPr>
        <w:t xml:space="preserve">Niewątpliwe najpopularniejszą z miar zagrożenia jest </w:t>
      </w:r>
      <w:r w:rsidR="00A34783" w:rsidRPr="00582C13">
        <w:rPr>
          <w:sz w:val="24"/>
          <w:szCs w:val="24"/>
        </w:rPr>
        <w:t>w</w:t>
      </w:r>
      <w:r w:rsidRPr="00582C13">
        <w:rPr>
          <w:sz w:val="24"/>
          <w:szCs w:val="24"/>
        </w:rPr>
        <w:t xml:space="preserve">artość zagrożona (ang. Value </w:t>
      </w:r>
      <w:proofErr w:type="spellStart"/>
      <w:r w:rsidRPr="00582C13">
        <w:rPr>
          <w:sz w:val="24"/>
          <w:szCs w:val="24"/>
        </w:rPr>
        <w:t>at</w:t>
      </w:r>
      <w:proofErr w:type="spellEnd"/>
      <w:r w:rsidRPr="00582C13">
        <w:rPr>
          <w:sz w:val="24"/>
          <w:szCs w:val="24"/>
        </w:rPr>
        <w:t xml:space="preserve"> </w:t>
      </w:r>
      <w:proofErr w:type="spellStart"/>
      <w:r w:rsidRPr="00582C13">
        <w:rPr>
          <w:sz w:val="24"/>
          <w:szCs w:val="24"/>
        </w:rPr>
        <w:t>Risk</w:t>
      </w:r>
      <w:proofErr w:type="spellEnd"/>
      <w:r w:rsidRPr="00582C13">
        <w:rPr>
          <w:sz w:val="24"/>
          <w:szCs w:val="24"/>
        </w:rPr>
        <w:t xml:space="preserve">, </w:t>
      </w:r>
      <w:proofErr w:type="spellStart"/>
      <w:r w:rsidRPr="00582C13">
        <w:rPr>
          <w:sz w:val="24"/>
          <w:szCs w:val="24"/>
        </w:rPr>
        <w:t>VaR</w:t>
      </w:r>
      <w:proofErr w:type="spellEnd"/>
      <w:r w:rsidRPr="00582C13">
        <w:rPr>
          <w:sz w:val="24"/>
          <w:szCs w:val="24"/>
        </w:rPr>
        <w:t xml:space="preserve">), która określa maksymalną możliwą stratę przy zadanym poziomie prawdopodobieństwa. </w:t>
      </w:r>
      <w:r w:rsidRPr="00582C13">
        <w:rPr>
          <w:rFonts w:cstheme="minorHAnsi"/>
          <w:sz w:val="24"/>
          <w:szCs w:val="24"/>
        </w:rPr>
        <w:t xml:space="preserve">Formalnie </w:t>
      </w:r>
      <w:proofErr w:type="spellStart"/>
      <w:r w:rsidRPr="00582C13">
        <w:rPr>
          <w:rFonts w:cstheme="minorHAnsi"/>
          <w:sz w:val="24"/>
          <w:szCs w:val="24"/>
        </w:rPr>
        <w:t>VaR</w:t>
      </w:r>
      <w:proofErr w:type="spellEnd"/>
      <w:r w:rsidRPr="00582C13">
        <w:rPr>
          <w:rFonts w:cstheme="minorHAnsi"/>
          <w:sz w:val="24"/>
          <w:szCs w:val="24"/>
        </w:rPr>
        <w:t xml:space="preserve"> można określić jako minus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wartość  odpowiedniego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kwantyl</w:t>
      </w:r>
      <w:r w:rsidR="00A3478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 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rozkładu zysków i strat</w:t>
      </w:r>
      <w:r w:rsidR="00A3478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(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Dowd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2005):</w:t>
      </w:r>
    </w:p>
    <w:p w14:paraId="27C2D99E" w14:textId="6587357A" w:rsidR="006C5054" w:rsidRPr="006C5054" w:rsidRDefault="006C5054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</w:rPr>
      </w:pPr>
      <m:oMathPara>
        <m:oMath>
          <m:r>
            <w:rPr>
              <w:rFonts w:ascii="Cambria Math" w:eastAsiaTheme="minorEastAsia" w:hAnsi="Cambria Math" w:cstheme="minorHAnsi"/>
              <w:color w:val="0D0D0D" w:themeColor="text1" w:themeTint="F2"/>
            </w:rPr>
            <m:t>VaR=-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</w:rPr>
                <m:t>α</m:t>
              </m:r>
            </m:sub>
          </m:sSub>
          <m:r>
            <w:rPr>
              <w:rFonts w:ascii="Cambria Math" w:eastAsiaTheme="minorEastAsia" w:hAnsi="Cambria Math" w:cstheme="minorHAnsi"/>
              <w:color w:val="0D0D0D" w:themeColor="text1" w:themeTint="F2"/>
            </w:rPr>
            <m:t>.</m:t>
          </m:r>
        </m:oMath>
      </m:oMathPara>
    </w:p>
    <w:p w14:paraId="2CD5A2BB" w14:textId="7EEDE444" w:rsidR="00942FD8" w:rsidRPr="00582C13" w:rsidRDefault="00942FD8" w:rsidP="00582C13">
      <w:pPr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Należy podkreślić, że zgodnie z powszechnie przyjętą konwencją wartość zagrożoną podaje się jako liczbę dodatnią mimo jej interpretacji jako potencjalnej straty.</w:t>
      </w:r>
    </w:p>
    <w:p w14:paraId="2E23C55E" w14:textId="6E28E055" w:rsidR="00942FD8" w:rsidRPr="00582C13" w:rsidRDefault="00942FD8" w:rsidP="00582C13">
      <w:pPr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Analiza ryzyka z wykorzystaniem tylko </w:t>
      </w:r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tej miary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byłaby niepełna z tego względu, że </w:t>
      </w:r>
      <w:proofErr w:type="spellStart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VaR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nie</w:t>
      </w:r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dostarcza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żadnych informacji o wielkości strat w </w:t>
      </w:r>
      <w:r w:rsidR="00A3478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przypadku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jej przekroczenia. Może to prowadzić do sytuacji, w której dwie potencjalne inwestycje zostaną błędnie potraktowane jako równie ryzykowne. </w:t>
      </w:r>
    </w:p>
    <w:p w14:paraId="3FF341B5" w14:textId="4F47E061" w:rsidR="00942FD8" w:rsidRPr="00582C13" w:rsidRDefault="002E0FB9" w:rsidP="00582C13">
      <w:pPr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Z tego względu za uzupełniającą miarę powszechnie uznaje się  zaproponowaną przez </w:t>
      </w:r>
      <w:proofErr w:type="spellStart"/>
      <w:r w:rsidR="00890AD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Artzner</w:t>
      </w:r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’a</w:t>
      </w:r>
      <w:proofErr w:type="spellEnd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, </w:t>
      </w:r>
      <w:r w:rsidR="00890AD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Delbeaen’a</w:t>
      </w:r>
      <w:proofErr w:type="spellEnd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, </w:t>
      </w:r>
      <w:proofErr w:type="spellStart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Eber’a</w:t>
      </w:r>
      <w:proofErr w:type="spellEnd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oraz </w:t>
      </w:r>
      <w:proofErr w:type="spellStart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Heath’a</w:t>
      </w:r>
      <w:proofErr w:type="spellEnd"/>
      <w:r w:rsidR="00496C7D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(</w:t>
      </w:r>
      <w:r w:rsidR="00890AD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1999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) oczekiwaną stratę (ang.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Expected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Shortfall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) zdefiniowaną w sposób następujący:</w:t>
      </w:r>
    </w:p>
    <w:p w14:paraId="35A21893" w14:textId="5BA2379F" w:rsidR="002E0FB9" w:rsidRPr="00582C13" w:rsidRDefault="00F00BDF" w:rsidP="006C5054">
      <w:pPr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ES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X≥-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6DA06417" w14:textId="2D27C96B" w:rsidR="00C005E2" w:rsidRPr="00582C13" w:rsidRDefault="00C005E2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lastRenderedPageBreak/>
        <w:t xml:space="preserve">Oczekiwana strata określa zatem średnią wielkość strat pod warunkiem, że strata przekroczy </w:t>
      </w:r>
      <w:proofErr w:type="spellStart"/>
      <w:r w:rsidRPr="00582C13">
        <w:rPr>
          <w:rFonts w:cstheme="minorHAnsi"/>
          <w:sz w:val="24"/>
          <w:szCs w:val="24"/>
        </w:rPr>
        <w:t>VaR</w:t>
      </w:r>
      <w:proofErr w:type="spellEnd"/>
      <w:r w:rsidRPr="00582C13">
        <w:rPr>
          <w:rFonts w:cstheme="minorHAnsi"/>
          <w:sz w:val="24"/>
          <w:szCs w:val="24"/>
        </w:rPr>
        <w:t>.</w:t>
      </w:r>
    </w:p>
    <w:p w14:paraId="6A66CA56" w14:textId="1C63D619" w:rsidR="00496C7D" w:rsidRPr="00582C13" w:rsidRDefault="00496C7D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Mimo koncepcyjnej prostoty kwestią ograniczają</w:t>
      </w:r>
      <w:r w:rsidR="00A34783" w:rsidRPr="00582C13">
        <w:rPr>
          <w:rFonts w:cstheme="minorHAnsi"/>
          <w:sz w:val="24"/>
          <w:szCs w:val="24"/>
        </w:rPr>
        <w:t>cą</w:t>
      </w:r>
      <w:r w:rsidRPr="00582C13">
        <w:rPr>
          <w:rFonts w:cstheme="minorHAnsi"/>
          <w:sz w:val="24"/>
          <w:szCs w:val="24"/>
        </w:rPr>
        <w:t xml:space="preserve"> praktyczne wykorzystanie tej miary była niepewność co do możliwości przeprowadzenia skutecznej weryfikacji oszacowań. Obecnie należy stwierdzić, że jest to możliwe, lecz znacznie trudniejsze w porównaniu do </w:t>
      </w:r>
      <w:proofErr w:type="spellStart"/>
      <w:r w:rsidRPr="00582C13">
        <w:rPr>
          <w:rFonts w:cstheme="minorHAnsi"/>
          <w:sz w:val="24"/>
          <w:szCs w:val="24"/>
        </w:rPr>
        <w:t>VaR</w:t>
      </w:r>
      <w:proofErr w:type="spellEnd"/>
      <w:r w:rsidRPr="00582C13">
        <w:rPr>
          <w:rFonts w:cstheme="minorHAnsi"/>
          <w:sz w:val="24"/>
          <w:szCs w:val="24"/>
        </w:rPr>
        <w:t>, jednocześnie brakuje metody, któr</w:t>
      </w:r>
      <w:r w:rsidR="00A34783" w:rsidRPr="00582C13">
        <w:rPr>
          <w:rFonts w:cstheme="minorHAnsi"/>
          <w:sz w:val="24"/>
          <w:szCs w:val="24"/>
        </w:rPr>
        <w:t>ą</w:t>
      </w:r>
      <w:r w:rsidRPr="00582C13">
        <w:rPr>
          <w:rFonts w:cstheme="minorHAnsi"/>
          <w:sz w:val="24"/>
          <w:szCs w:val="24"/>
        </w:rPr>
        <w:t xml:space="preserve"> można by uznać za uniwersalną</w:t>
      </w:r>
      <w:r w:rsidR="00A34783" w:rsidRPr="00582C13">
        <w:rPr>
          <w:rFonts w:cstheme="minorHAnsi"/>
          <w:sz w:val="24"/>
          <w:szCs w:val="24"/>
        </w:rPr>
        <w:t xml:space="preserve"> </w:t>
      </w:r>
      <w:r w:rsidRPr="00582C13">
        <w:rPr>
          <w:rFonts w:cstheme="minorHAnsi"/>
          <w:sz w:val="24"/>
          <w:szCs w:val="24"/>
        </w:rPr>
        <w:t>(</w:t>
      </w:r>
      <w:proofErr w:type="spellStart"/>
      <w:r w:rsidRPr="00582C13">
        <w:rPr>
          <w:rFonts w:cstheme="minorHAnsi"/>
          <w:sz w:val="24"/>
          <w:szCs w:val="24"/>
        </w:rPr>
        <w:t>Wimmerstedt</w:t>
      </w:r>
      <w:proofErr w:type="spellEnd"/>
      <w:r w:rsidRPr="00582C13">
        <w:rPr>
          <w:rFonts w:cstheme="minorHAnsi"/>
          <w:sz w:val="24"/>
          <w:szCs w:val="24"/>
        </w:rPr>
        <w:t>, 2015).</w:t>
      </w:r>
    </w:p>
    <w:p w14:paraId="172AE3E2" w14:textId="1522F74A" w:rsidR="00086350" w:rsidRPr="00582C13" w:rsidRDefault="00C005E2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Z tego względu uważamy, że zaproponowana przez</w:t>
      </w:r>
      <w:r w:rsidR="00E70AAF" w:rsidRPr="00582C13">
        <w:rPr>
          <w:rFonts w:cstheme="minorHAnsi"/>
          <w:sz w:val="24"/>
          <w:szCs w:val="24"/>
        </w:rPr>
        <w:t xml:space="preserve"> </w:t>
      </w:r>
      <w:bookmarkStart w:id="0" w:name="_Hlk73367569"/>
      <w:proofErr w:type="spellStart"/>
      <w:r w:rsidR="00E70AAF" w:rsidRPr="00582C13">
        <w:rPr>
          <w:rFonts w:cstheme="minorHAnsi"/>
          <w:sz w:val="24"/>
          <w:szCs w:val="24"/>
        </w:rPr>
        <w:t>Kau</w:t>
      </w:r>
      <w:proofErr w:type="spellEnd"/>
      <w:r w:rsidR="00E70AAF" w:rsidRPr="00582C13">
        <w:rPr>
          <w:rFonts w:cstheme="minorHAnsi"/>
          <w:sz w:val="24"/>
          <w:szCs w:val="24"/>
        </w:rPr>
        <w:t xml:space="preserve">, Peng i </w:t>
      </w:r>
      <w:proofErr w:type="spellStart"/>
      <w:r w:rsidR="00E70AAF" w:rsidRPr="00582C13">
        <w:rPr>
          <w:rFonts w:cstheme="minorHAnsi"/>
          <w:sz w:val="24"/>
          <w:szCs w:val="24"/>
        </w:rPr>
        <w:t>Heyde</w:t>
      </w:r>
      <w:proofErr w:type="spellEnd"/>
      <w:r w:rsidRPr="00582C13">
        <w:rPr>
          <w:rFonts w:cstheme="minorHAnsi"/>
          <w:sz w:val="24"/>
          <w:szCs w:val="24"/>
        </w:rPr>
        <w:t xml:space="preserve"> (</w:t>
      </w:r>
      <w:r w:rsidR="00E70AAF" w:rsidRPr="00582C13">
        <w:rPr>
          <w:rFonts w:cstheme="minorHAnsi"/>
          <w:sz w:val="24"/>
          <w:szCs w:val="24"/>
        </w:rPr>
        <w:t>2013</w:t>
      </w:r>
      <w:r w:rsidRPr="00582C13">
        <w:rPr>
          <w:rFonts w:cstheme="minorHAnsi"/>
          <w:sz w:val="24"/>
          <w:szCs w:val="24"/>
        </w:rPr>
        <w:t xml:space="preserve">) </w:t>
      </w:r>
      <w:bookmarkEnd w:id="0"/>
      <w:r w:rsidRPr="00582C13">
        <w:rPr>
          <w:rFonts w:cstheme="minorHAnsi"/>
          <w:sz w:val="24"/>
          <w:szCs w:val="24"/>
        </w:rPr>
        <w:t>mediana przekroczeń</w:t>
      </w:r>
      <w:r w:rsidR="004B414B" w:rsidRPr="00582C13">
        <w:rPr>
          <w:rFonts w:cstheme="minorHAnsi"/>
          <w:sz w:val="24"/>
          <w:szCs w:val="24"/>
        </w:rPr>
        <w:t xml:space="preserve"> </w:t>
      </w:r>
      <w:r w:rsidRPr="00582C13">
        <w:rPr>
          <w:rFonts w:cstheme="minorHAnsi"/>
          <w:sz w:val="24"/>
          <w:szCs w:val="24"/>
        </w:rPr>
        <w:t xml:space="preserve">(ang. Median </w:t>
      </w:r>
      <w:proofErr w:type="spellStart"/>
      <w:r w:rsidRPr="00582C13">
        <w:rPr>
          <w:rFonts w:cstheme="minorHAnsi"/>
          <w:sz w:val="24"/>
          <w:szCs w:val="24"/>
        </w:rPr>
        <w:t>Shortfall</w:t>
      </w:r>
      <w:proofErr w:type="spellEnd"/>
      <w:r w:rsidRPr="00582C13">
        <w:rPr>
          <w:rFonts w:cstheme="minorHAnsi"/>
          <w:sz w:val="24"/>
          <w:szCs w:val="24"/>
        </w:rPr>
        <w:t xml:space="preserve">, MS) jest </w:t>
      </w:r>
      <w:r w:rsidR="004B414B" w:rsidRPr="00582C13">
        <w:rPr>
          <w:rFonts w:cstheme="minorHAnsi"/>
          <w:sz w:val="24"/>
          <w:szCs w:val="24"/>
        </w:rPr>
        <w:t>bardziej odpowiednią</w:t>
      </w:r>
      <w:r w:rsidRPr="00582C13">
        <w:rPr>
          <w:rFonts w:cstheme="minorHAnsi"/>
          <w:sz w:val="24"/>
          <w:szCs w:val="24"/>
        </w:rPr>
        <w:t xml:space="preserve"> miarą uzupełniając</w:t>
      </w:r>
      <w:r w:rsidR="004B414B" w:rsidRPr="00582C13">
        <w:rPr>
          <w:rFonts w:cstheme="minorHAnsi"/>
          <w:sz w:val="24"/>
          <w:szCs w:val="24"/>
        </w:rPr>
        <w:t>ą</w:t>
      </w:r>
      <w:r w:rsidRPr="00582C13">
        <w:rPr>
          <w:rFonts w:cstheme="minorHAnsi"/>
          <w:sz w:val="24"/>
          <w:szCs w:val="24"/>
        </w:rPr>
        <w:t xml:space="preserve"> wartość zagrożoną.  Definiuje się j</w:t>
      </w:r>
      <w:r w:rsidR="004B414B" w:rsidRPr="00582C13">
        <w:rPr>
          <w:rFonts w:cstheme="minorHAnsi"/>
          <w:sz w:val="24"/>
          <w:szCs w:val="24"/>
        </w:rPr>
        <w:t>ą</w:t>
      </w:r>
      <w:r w:rsidRPr="00582C13">
        <w:rPr>
          <w:rFonts w:cstheme="minorHAnsi"/>
          <w:sz w:val="24"/>
          <w:szCs w:val="24"/>
        </w:rPr>
        <w:t xml:space="preserve"> w sposób następujący:</w:t>
      </w:r>
    </w:p>
    <w:p w14:paraId="746E5C42" w14:textId="71905353" w:rsidR="00C005E2" w:rsidRPr="00582C13" w:rsidRDefault="00F00BDF" w:rsidP="00582C13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=mediana[X|X≥-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VaR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(X)]</m:t>
          </m:r>
        </m:oMath>
      </m:oMathPara>
    </w:p>
    <w:p w14:paraId="497B7C11" w14:textId="7F18F42E" w:rsidR="00C005E2" w:rsidRPr="00582C13" w:rsidRDefault="0078098A" w:rsidP="00582C13">
      <w:pPr>
        <w:jc w:val="both"/>
        <w:rPr>
          <w:rFonts w:eastAsiaTheme="minorEastAsia" w:cstheme="minorHAnsi"/>
          <w:sz w:val="24"/>
          <w:szCs w:val="24"/>
        </w:rPr>
      </w:pPr>
      <w:r w:rsidRPr="00582C13">
        <w:rPr>
          <w:rFonts w:eastAsiaTheme="minorEastAsia" w:cstheme="minorHAnsi"/>
          <w:sz w:val="24"/>
          <w:szCs w:val="24"/>
        </w:rPr>
        <w:t>Warto pokreślić, że przejście z oczekiwanej straty na medianę przekroczeń wymaga jedynie zmiany średniej na median</w:t>
      </w:r>
      <w:r w:rsidR="00946E7C" w:rsidRPr="00582C13">
        <w:rPr>
          <w:rFonts w:eastAsiaTheme="minorEastAsia" w:cstheme="minorHAnsi"/>
          <w:sz w:val="24"/>
          <w:szCs w:val="24"/>
        </w:rPr>
        <w:t>ę</w:t>
      </w:r>
      <w:r w:rsidRPr="00582C13">
        <w:rPr>
          <w:rFonts w:eastAsiaTheme="minorEastAsia" w:cstheme="minorHAnsi"/>
          <w:sz w:val="24"/>
          <w:szCs w:val="24"/>
        </w:rPr>
        <w:t xml:space="preserve"> w odpowiedniej definicji. Ta drobna modyfikacja sprawia, że MS posiada szereg praktycznych zalet</w:t>
      </w:r>
      <w:r w:rsidR="004B414B" w:rsidRPr="00582C13">
        <w:rPr>
          <w:rFonts w:eastAsiaTheme="minorEastAsia" w:cstheme="minorHAnsi"/>
          <w:sz w:val="24"/>
          <w:szCs w:val="24"/>
        </w:rPr>
        <w:t xml:space="preserve"> </w:t>
      </w:r>
      <w:r w:rsidRPr="00582C13">
        <w:rPr>
          <w:rFonts w:eastAsiaTheme="minorEastAsia" w:cstheme="minorHAnsi"/>
          <w:sz w:val="24"/>
          <w:szCs w:val="24"/>
        </w:rPr>
        <w:t>(</w:t>
      </w:r>
      <w:proofErr w:type="spellStart"/>
      <w:r w:rsidRPr="00582C13">
        <w:rPr>
          <w:rFonts w:eastAsiaTheme="minorEastAsia" w:cstheme="minorHAnsi"/>
          <w:sz w:val="24"/>
          <w:szCs w:val="24"/>
        </w:rPr>
        <w:t>Kou</w:t>
      </w:r>
      <w:proofErr w:type="spellEnd"/>
      <w:r w:rsidRPr="00582C13">
        <w:rPr>
          <w:rFonts w:eastAsiaTheme="minorEastAsia" w:cstheme="minorHAnsi"/>
          <w:sz w:val="24"/>
          <w:szCs w:val="24"/>
        </w:rPr>
        <w:t xml:space="preserve"> i Peng, 2014),</w:t>
      </w:r>
      <w:r w:rsidR="004B414B" w:rsidRPr="00582C13">
        <w:rPr>
          <w:rFonts w:eastAsiaTheme="minorEastAsia" w:cstheme="minorHAnsi"/>
          <w:sz w:val="24"/>
          <w:szCs w:val="24"/>
        </w:rPr>
        <w:t xml:space="preserve"> </w:t>
      </w:r>
      <w:r w:rsidRPr="00582C13">
        <w:rPr>
          <w:rFonts w:eastAsiaTheme="minorEastAsia" w:cstheme="minorHAnsi"/>
          <w:sz w:val="24"/>
          <w:szCs w:val="24"/>
        </w:rPr>
        <w:t>z których do najważniejszych należą odporność na błędy estymacji wynikające z nieprawidłowej specyfikacji modelu oraz łatwość szacowania</w:t>
      </w:r>
      <w:r w:rsidR="004B414B" w:rsidRPr="00582C13">
        <w:rPr>
          <w:rFonts w:eastAsiaTheme="minorEastAsia" w:cstheme="minorHAnsi"/>
          <w:sz w:val="24"/>
          <w:szCs w:val="24"/>
        </w:rPr>
        <w:t xml:space="preserve"> </w:t>
      </w:r>
      <w:r w:rsidRPr="00582C13">
        <w:rPr>
          <w:rFonts w:eastAsiaTheme="minorEastAsia" w:cstheme="minorHAnsi"/>
          <w:sz w:val="24"/>
          <w:szCs w:val="24"/>
        </w:rPr>
        <w:t xml:space="preserve">(Szczerbak, 2013). Druga z wymienionych pozytywnych własności wynika z tego, że </w:t>
      </w:r>
      <w:proofErr w:type="spellStart"/>
      <w:r w:rsidRPr="00582C13">
        <w:rPr>
          <w:rFonts w:eastAsiaTheme="minorEastAsia" w:cstheme="minorHAnsi"/>
          <w:sz w:val="24"/>
          <w:szCs w:val="24"/>
        </w:rPr>
        <w:t>Kau</w:t>
      </w:r>
      <w:proofErr w:type="spellEnd"/>
      <w:r w:rsidRPr="00582C13">
        <w:rPr>
          <w:rFonts w:eastAsiaTheme="minorEastAsia" w:cstheme="minorHAnsi"/>
          <w:sz w:val="24"/>
          <w:szCs w:val="24"/>
        </w:rPr>
        <w:t xml:space="preserve">, Peng i </w:t>
      </w:r>
      <w:proofErr w:type="spellStart"/>
      <w:r w:rsidRPr="00582C13">
        <w:rPr>
          <w:rFonts w:eastAsiaTheme="minorEastAsia" w:cstheme="minorHAnsi"/>
          <w:sz w:val="24"/>
          <w:szCs w:val="24"/>
        </w:rPr>
        <w:t>Heyde</w:t>
      </w:r>
      <w:proofErr w:type="spellEnd"/>
      <w:r w:rsidRPr="00582C13">
        <w:rPr>
          <w:rFonts w:eastAsiaTheme="minorEastAsia" w:cstheme="minorHAnsi"/>
          <w:sz w:val="24"/>
          <w:szCs w:val="24"/>
        </w:rPr>
        <w:t xml:space="preserve"> (2013) udowodnili, że</w:t>
      </w:r>
      <w:r w:rsidR="00C005E2" w:rsidRPr="00582C13">
        <w:rPr>
          <w:rFonts w:eastAsiaTheme="minorEastAsia" w:cstheme="minorHAnsi"/>
          <w:sz w:val="24"/>
          <w:szCs w:val="24"/>
        </w:rPr>
        <w:t xml:space="preserve"> medianę przekroczeń na poziomie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</m:t>
        </m:r>
      </m:oMath>
      <w:r w:rsidR="00C005E2" w:rsidRPr="00582C13">
        <w:rPr>
          <w:rFonts w:eastAsiaTheme="minorEastAsia" w:cstheme="minorHAnsi"/>
          <w:sz w:val="24"/>
          <w:szCs w:val="24"/>
        </w:rPr>
        <w:t xml:space="preserve"> można szacować jako wartość zagrożoną na poziomie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 α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0354BB" w:rsidRPr="00582C13">
        <w:rPr>
          <w:rFonts w:eastAsiaTheme="minorEastAsia" w:cstheme="minorHAnsi"/>
          <w:sz w:val="24"/>
          <w:szCs w:val="24"/>
        </w:rPr>
        <w:t>:</w:t>
      </w:r>
    </w:p>
    <w:p w14:paraId="66951ED1" w14:textId="79503A38" w:rsidR="00086350" w:rsidRPr="00582C13" w:rsidRDefault="00F00BDF" w:rsidP="00582C13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MS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VaR</m:t>
              </m:r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1+α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67D8A6A2" w14:textId="7B5C94C0" w:rsidR="00BF1E44" w:rsidRPr="00582C13" w:rsidRDefault="00BF1E44" w:rsidP="00582C13">
      <w:pPr>
        <w:jc w:val="both"/>
        <w:rPr>
          <w:rFonts w:eastAsiaTheme="minorEastAsia" w:cstheme="minorHAnsi"/>
          <w:sz w:val="24"/>
          <w:szCs w:val="24"/>
        </w:rPr>
      </w:pPr>
      <w:r w:rsidRPr="00582C13">
        <w:rPr>
          <w:rFonts w:eastAsiaTheme="minorEastAsia" w:cstheme="minorHAnsi"/>
          <w:sz w:val="24"/>
          <w:szCs w:val="24"/>
        </w:rPr>
        <w:t xml:space="preserve">Mając na uwadze powyższą własność wszystkie przedstawione poniżej sposoby estymacji oraz weryfikacji wartości zagrożonej mają również zastosowanie w przypadku </w:t>
      </w:r>
      <w:r w:rsidR="004B414B" w:rsidRPr="00582C13">
        <w:rPr>
          <w:rFonts w:eastAsiaTheme="minorEastAsia" w:cstheme="minorHAnsi"/>
          <w:sz w:val="24"/>
          <w:szCs w:val="24"/>
        </w:rPr>
        <w:t>m</w:t>
      </w:r>
      <w:r w:rsidRPr="00582C13">
        <w:rPr>
          <w:rFonts w:eastAsiaTheme="minorEastAsia" w:cstheme="minorHAnsi"/>
          <w:sz w:val="24"/>
          <w:szCs w:val="24"/>
        </w:rPr>
        <w:t xml:space="preserve">ediany </w:t>
      </w:r>
      <w:r w:rsidR="004B414B" w:rsidRPr="00582C13">
        <w:rPr>
          <w:rFonts w:eastAsiaTheme="minorEastAsia" w:cstheme="minorHAnsi"/>
          <w:sz w:val="24"/>
          <w:szCs w:val="24"/>
        </w:rPr>
        <w:t>przekroczeń</w:t>
      </w:r>
      <w:r w:rsidRPr="00582C13">
        <w:rPr>
          <w:rFonts w:eastAsiaTheme="minorEastAsia" w:cstheme="minorHAnsi"/>
          <w:sz w:val="24"/>
          <w:szCs w:val="24"/>
        </w:rPr>
        <w:t>.</w:t>
      </w:r>
    </w:p>
    <w:p w14:paraId="0215E583" w14:textId="42BEFB73" w:rsidR="00C005E2" w:rsidRPr="00582C13" w:rsidRDefault="00C005E2" w:rsidP="00C005E2">
      <w:pPr>
        <w:pStyle w:val="Nagwek1"/>
        <w:rPr>
          <w:rFonts w:cstheme="majorHAnsi"/>
        </w:rPr>
      </w:pPr>
      <w:r w:rsidRPr="00582C13">
        <w:rPr>
          <w:rFonts w:cstheme="majorHAnsi"/>
        </w:rPr>
        <w:t>Teoria wartości ekstremalnych</w:t>
      </w:r>
    </w:p>
    <w:p w14:paraId="33C14D9C" w14:textId="31BC99AB" w:rsidR="009C571D" w:rsidRPr="00582C13" w:rsidRDefault="009C571D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Wiele problemów związanych z zarządzaniem ryzykiem dotyczy sytuacji ekstremalnych</w:t>
      </w:r>
      <w:r w:rsidR="004B414B" w:rsidRPr="00582C13">
        <w:rPr>
          <w:rFonts w:cstheme="minorHAnsi"/>
          <w:sz w:val="24"/>
          <w:szCs w:val="24"/>
        </w:rPr>
        <w:t>, z</w:t>
      </w:r>
      <w:r w:rsidRPr="00582C13">
        <w:rPr>
          <w:rFonts w:cstheme="minorHAnsi"/>
          <w:sz w:val="24"/>
          <w:szCs w:val="24"/>
        </w:rPr>
        <w:t>darzeń, których prawdopodobieństwo zajścia jest relatywnie niewielkie</w:t>
      </w:r>
      <w:r w:rsidR="004B414B" w:rsidRPr="00582C13">
        <w:rPr>
          <w:rFonts w:cstheme="minorHAnsi"/>
          <w:sz w:val="24"/>
          <w:szCs w:val="24"/>
        </w:rPr>
        <w:t>,</w:t>
      </w:r>
      <w:r w:rsidRPr="00582C13">
        <w:rPr>
          <w:rFonts w:cstheme="minorHAnsi"/>
          <w:sz w:val="24"/>
          <w:szCs w:val="24"/>
        </w:rPr>
        <w:t xml:space="preserve"> lecz jednocześnie może być bardzo kosztowne. Standardowe pode</w:t>
      </w:r>
      <w:r w:rsidR="004B414B" w:rsidRPr="00582C13">
        <w:rPr>
          <w:rFonts w:cstheme="minorHAnsi"/>
          <w:sz w:val="24"/>
          <w:szCs w:val="24"/>
        </w:rPr>
        <w:t>j</w:t>
      </w:r>
      <w:r w:rsidRPr="00582C13">
        <w:rPr>
          <w:rFonts w:cstheme="minorHAnsi"/>
          <w:sz w:val="24"/>
          <w:szCs w:val="24"/>
        </w:rPr>
        <w:t xml:space="preserve">ście statystyczne polegające na przyjęciu pewnego rozkładu oraz oszacowaniu jego parametrów z wykorzystaniem całego zbioru danych jest w tym przypadku zawodne. Dzieje się tak dlatego, że </w:t>
      </w:r>
      <w:r w:rsidR="00982873" w:rsidRPr="00582C13">
        <w:rPr>
          <w:rFonts w:cstheme="minorHAnsi"/>
          <w:sz w:val="24"/>
          <w:szCs w:val="24"/>
        </w:rPr>
        <w:t>oszacowane w ten sposób rozkłady mają tendencję do dostosowywania się do centralnych obserwacji, a nie do tych rzadkich i ekstremalnych</w:t>
      </w:r>
      <w:r w:rsidR="004B414B" w:rsidRPr="00582C13">
        <w:rPr>
          <w:rFonts w:cstheme="minorHAnsi"/>
          <w:sz w:val="24"/>
          <w:szCs w:val="24"/>
        </w:rPr>
        <w:t xml:space="preserve"> </w:t>
      </w:r>
      <w:r w:rsidR="00982873" w:rsidRPr="00582C13">
        <w:rPr>
          <w:rFonts w:cstheme="minorHAnsi"/>
          <w:sz w:val="24"/>
          <w:szCs w:val="24"/>
        </w:rPr>
        <w:t>(</w:t>
      </w:r>
      <w:proofErr w:type="spellStart"/>
      <w:r w:rsidR="00982873" w:rsidRPr="00582C13">
        <w:rPr>
          <w:rFonts w:cstheme="minorHAnsi"/>
          <w:sz w:val="24"/>
          <w:szCs w:val="24"/>
        </w:rPr>
        <w:t>Dowd</w:t>
      </w:r>
      <w:proofErr w:type="spellEnd"/>
      <w:r w:rsidR="00982873" w:rsidRPr="00582C13">
        <w:rPr>
          <w:rFonts w:cstheme="minorHAnsi"/>
          <w:sz w:val="24"/>
          <w:szCs w:val="24"/>
        </w:rPr>
        <w:t xml:space="preserve">, 2005). Istnieje zatem potrzeba estymacji ogonów rozkładów, co do których ze względu na ich rzadkość posiadamy ograniczoną liczbę danych empirycznych. Teoria wartości ekstremalnych (ang. Extreme Value </w:t>
      </w:r>
      <w:proofErr w:type="spellStart"/>
      <w:r w:rsidR="00982873" w:rsidRPr="00582C13">
        <w:rPr>
          <w:rFonts w:cstheme="minorHAnsi"/>
          <w:sz w:val="24"/>
          <w:szCs w:val="24"/>
        </w:rPr>
        <w:t>Theory</w:t>
      </w:r>
      <w:proofErr w:type="spellEnd"/>
      <w:r w:rsidR="00982873" w:rsidRPr="00582C13">
        <w:rPr>
          <w:rFonts w:cstheme="minorHAnsi"/>
          <w:sz w:val="24"/>
          <w:szCs w:val="24"/>
        </w:rPr>
        <w:t>, EVT) jest gałęzią statystyki stosowanej opracowanej specjalnie pod tego</w:t>
      </w:r>
      <w:r w:rsidR="004B414B" w:rsidRPr="00582C13">
        <w:rPr>
          <w:rFonts w:cstheme="minorHAnsi"/>
          <w:sz w:val="24"/>
          <w:szCs w:val="24"/>
        </w:rPr>
        <w:t xml:space="preserve"> typu</w:t>
      </w:r>
      <w:r w:rsidR="00982873" w:rsidRPr="00582C13">
        <w:rPr>
          <w:rFonts w:cstheme="minorHAnsi"/>
          <w:sz w:val="24"/>
          <w:szCs w:val="24"/>
        </w:rPr>
        <w:t xml:space="preserve"> zastosowania. </w:t>
      </w:r>
    </w:p>
    <w:p w14:paraId="0254ABA3" w14:textId="464BD75F" w:rsidR="00C005E2" w:rsidRDefault="00982873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W jej ramach można wyszczególnić dwa rodzaje modeli. </w:t>
      </w:r>
      <w:r w:rsidR="00E662ED" w:rsidRPr="00582C13">
        <w:rPr>
          <w:rFonts w:cstheme="minorHAnsi"/>
          <w:sz w:val="24"/>
          <w:szCs w:val="24"/>
        </w:rPr>
        <w:t xml:space="preserve">Starsza grupa metod bazuje na metodzie maksimów blokowych, natomiast nowocześniejsze i </w:t>
      </w:r>
      <w:r w:rsidR="004B414B" w:rsidRPr="00582C13">
        <w:rPr>
          <w:rFonts w:cstheme="minorHAnsi"/>
          <w:sz w:val="24"/>
          <w:szCs w:val="24"/>
        </w:rPr>
        <w:t>bardziej efektywne</w:t>
      </w:r>
      <w:r w:rsidR="00E662ED" w:rsidRPr="00582C13">
        <w:rPr>
          <w:rFonts w:cstheme="minorHAnsi"/>
          <w:sz w:val="24"/>
          <w:szCs w:val="24"/>
        </w:rPr>
        <w:t xml:space="preserve"> podejście wykorzystuje model przekroczeń</w:t>
      </w:r>
      <w:r w:rsidR="004B414B" w:rsidRPr="00582C13">
        <w:rPr>
          <w:rFonts w:cstheme="minorHAnsi"/>
          <w:sz w:val="24"/>
          <w:szCs w:val="24"/>
        </w:rPr>
        <w:t xml:space="preserve"> </w:t>
      </w:r>
      <w:r w:rsidR="00E662ED" w:rsidRPr="00582C13">
        <w:rPr>
          <w:rFonts w:cstheme="minorHAnsi"/>
          <w:sz w:val="24"/>
          <w:szCs w:val="24"/>
        </w:rPr>
        <w:t xml:space="preserve">(ang. </w:t>
      </w:r>
      <w:proofErr w:type="spellStart"/>
      <w:r w:rsidR="00E662ED" w:rsidRPr="00582C13">
        <w:rPr>
          <w:rFonts w:cstheme="minorHAnsi"/>
          <w:sz w:val="24"/>
          <w:szCs w:val="24"/>
        </w:rPr>
        <w:t>Peak</w:t>
      </w:r>
      <w:proofErr w:type="spellEnd"/>
      <w:r w:rsidR="00E662ED" w:rsidRPr="00582C13">
        <w:rPr>
          <w:rFonts w:cstheme="minorHAnsi"/>
          <w:sz w:val="24"/>
          <w:szCs w:val="24"/>
        </w:rPr>
        <w:t xml:space="preserve"> </w:t>
      </w:r>
      <w:proofErr w:type="spellStart"/>
      <w:r w:rsidR="00E662ED" w:rsidRPr="00582C13">
        <w:rPr>
          <w:rFonts w:cstheme="minorHAnsi"/>
          <w:sz w:val="24"/>
          <w:szCs w:val="24"/>
        </w:rPr>
        <w:t>over</w:t>
      </w:r>
      <w:proofErr w:type="spellEnd"/>
      <w:r w:rsidR="00E662ED" w:rsidRPr="00582C13">
        <w:rPr>
          <w:rFonts w:cstheme="minorHAnsi"/>
          <w:sz w:val="24"/>
          <w:szCs w:val="24"/>
        </w:rPr>
        <w:t xml:space="preserve"> </w:t>
      </w:r>
      <w:proofErr w:type="spellStart"/>
      <w:r w:rsidR="00E662ED" w:rsidRPr="00582C13">
        <w:rPr>
          <w:rFonts w:cstheme="minorHAnsi"/>
          <w:sz w:val="24"/>
          <w:szCs w:val="24"/>
        </w:rPr>
        <w:t>threshold</w:t>
      </w:r>
      <w:proofErr w:type="spellEnd"/>
      <w:r w:rsidRPr="00582C13">
        <w:rPr>
          <w:rFonts w:cstheme="minorHAnsi"/>
          <w:sz w:val="24"/>
          <w:szCs w:val="24"/>
        </w:rPr>
        <w:t>,</w:t>
      </w:r>
      <w:r w:rsidR="004B414B" w:rsidRPr="00582C13">
        <w:rPr>
          <w:rFonts w:cstheme="minorHAnsi"/>
          <w:sz w:val="24"/>
          <w:szCs w:val="24"/>
        </w:rPr>
        <w:t xml:space="preserve"> </w:t>
      </w:r>
      <w:r w:rsidR="00E662ED" w:rsidRPr="00582C13">
        <w:rPr>
          <w:rFonts w:cstheme="minorHAnsi"/>
          <w:sz w:val="24"/>
          <w:szCs w:val="24"/>
        </w:rPr>
        <w:t xml:space="preserve">POT). </w:t>
      </w:r>
      <w:r w:rsidR="0078098A" w:rsidRPr="00582C13">
        <w:rPr>
          <w:rFonts w:cstheme="minorHAnsi"/>
          <w:sz w:val="24"/>
          <w:szCs w:val="24"/>
        </w:rPr>
        <w:t xml:space="preserve">Podejście to </w:t>
      </w:r>
      <w:r w:rsidR="00E70AAF" w:rsidRPr="00582C13">
        <w:rPr>
          <w:rFonts w:cstheme="minorHAnsi"/>
          <w:sz w:val="24"/>
          <w:szCs w:val="24"/>
        </w:rPr>
        <w:t>umożliwia estymację rozkładu zwrotów przekraczających przyjęty próg.</w:t>
      </w:r>
      <w:r w:rsidR="009C571D" w:rsidRPr="00582C13">
        <w:rPr>
          <w:rFonts w:cstheme="minorHAnsi"/>
          <w:sz w:val="24"/>
          <w:szCs w:val="24"/>
        </w:rPr>
        <w:t xml:space="preserve"> </w:t>
      </w:r>
    </w:p>
    <w:p w14:paraId="669232B3" w14:textId="77777777" w:rsidR="0012158A" w:rsidRPr="00582C13" w:rsidRDefault="0012158A" w:rsidP="00582C13">
      <w:pPr>
        <w:jc w:val="both"/>
        <w:rPr>
          <w:rFonts w:cstheme="minorHAnsi"/>
          <w:sz w:val="24"/>
          <w:szCs w:val="24"/>
        </w:rPr>
      </w:pPr>
    </w:p>
    <w:p w14:paraId="5ACE0E6D" w14:textId="5D25BDFD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 xml:space="preserve">Dla ustalonej wartości progowej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u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rozkład przekroczeń powyżej tej wartości definiuje się jako (Siemaszkiewicz, 2013):</w:t>
      </w:r>
    </w:p>
    <w:p w14:paraId="2E0C6189" w14:textId="5BC8D60F" w:rsidR="00E70AAF" w:rsidRPr="00582C13" w:rsidRDefault="00F00BD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X-u≤x|X&gt;u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x+u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-F(u)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1-F(u)</m:t>
              </m:r>
            </m:den>
          </m:f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2C069ADD" w14:textId="7A3D2BAE" w:rsidR="00E70AAF" w:rsidRPr="00582C13" w:rsidRDefault="0078098A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dzie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br/>
        <w:t>F jest nieznaną dystrybuantą rozkładu zmiennej losowej X</w:t>
      </w:r>
      <w:r w:rsidR="004B414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.</w:t>
      </w:r>
    </w:p>
    <w:p w14:paraId="146FDED0" w14:textId="109F0C9A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Dla x&gt;0 daje to informacja o prawdopodobieństwie, że strata przekroczy próg u maksymalnie o x, pod warunkiem,</w:t>
      </w:r>
      <w:r w:rsidR="004B414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że go przekroczy</w:t>
      </w:r>
      <w:r w:rsidR="004B414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(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Dowd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  <w:r w:rsidR="004B414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2005)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.</w:t>
      </w:r>
    </w:p>
    <w:p w14:paraId="22C392D4" w14:textId="5B09EB34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Zgodnie z twierdzeniem </w:t>
      </w:r>
      <w:bookmarkStart w:id="1" w:name="_Hlk18322679"/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Gnedenko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–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Pickandsa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–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Balkema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–de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Haana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bookmarkEnd w:id="1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wraz ze wzrostem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u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rozkład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F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zbiega do uogólnionego rozkładu Pareto,</w:t>
      </w:r>
      <w:r w:rsidR="004B414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którego dystrybuanta dana jest wzorem:</w:t>
      </w:r>
    </w:p>
    <w:p w14:paraId="43E48A82" w14:textId="77777777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</w:p>
    <w:p w14:paraId="31A27F9C" w14:textId="77777777" w:rsidR="00E70AAF" w:rsidRPr="00582C13" w:rsidRDefault="00F00BD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ξ,β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ξx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 xml:space="preserve"> dla ξ≠0,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 xml:space="preserve"> dla ξ=0,</m:t>
                  </m:r>
                </m:e>
              </m:eqArr>
            </m:e>
          </m:d>
        </m:oMath>
      </m:oMathPara>
    </w:p>
    <w:p w14:paraId="42064A1B" w14:textId="3C9572D0" w:rsidR="00E70AAF" w:rsidRPr="00582C13" w:rsidRDefault="00582C13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dzie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β&gt;0 oraz x&gt;0.</m:t>
        </m:r>
      </m:oMath>
    </w:p>
    <w:p w14:paraId="0655BDC3" w14:textId="4AC58F29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bookmarkStart w:id="2" w:name="_Hlk18327276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Siemaszkiewicz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2013</w:t>
      </w:r>
      <w:bookmarkEnd w:id="2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) podaje, że twierdzenie to zostało zaprezentowane w pracy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Balkema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i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Haan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a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, 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(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1974).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β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to parametr skali, a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ξ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to parametr kształtu odpowiadający za grubość ogona rozkładu (Siemaszkiewicz, 2013). Powyższa dystrybuanta jest uogólniona w takim sensie, że zawiera w sobie trzy inne rozkłady:</w:t>
      </w:r>
    </w:p>
    <w:p w14:paraId="225D8E0D" w14:textId="1811F0B0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ξ&gt;0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otrzymujemy zwykły rozkład Pareto, dla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ξ=0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mamy rozkład wykładniczy, a dla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 xml:space="preserve"> ξ&lt;0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rozkład Pareto drugiego rodzaju (Bałamut 2002)</w:t>
      </w:r>
      <w:r w:rsidR="00890AD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.</w:t>
      </w:r>
    </w:p>
    <w:p w14:paraId="5E3C0F3E" w14:textId="7A6645A6" w:rsidR="00890AD4" w:rsidRPr="00582C13" w:rsidRDefault="00890AD4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Pierwszy przypadek jest szczególnie istotny w kontekście zarządzania ryzykiem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ponieważ pozwala uchwycić powszechnie występujące w przypadku danych finansowych zjawisko grubych ogonów rozkładów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stóp zwrotu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(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Mc</w:t>
      </w:r>
      <w:r w:rsidR="003F5FE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N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eil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 1999).</w:t>
      </w:r>
    </w:p>
    <w:p w14:paraId="7A1F42A4" w14:textId="5A092BD2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Przechodząc z rozkładu przekroczeń progu do generalnego rozkładu otrzymujemy (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Dowd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2005):</w:t>
      </w:r>
    </w:p>
    <w:p w14:paraId="1C4C7714" w14:textId="0D09D52D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ξ,β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x-u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20BC79A8" w14:textId="75D91CC0" w:rsidR="006E41F5" w:rsidRPr="00582C13" w:rsidRDefault="00582C13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dzie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  <w:r w:rsidR="006E41F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x&gt;u</m:t>
        </m:r>
      </m:oMath>
    </w:p>
    <w:p w14:paraId="3C810A84" w14:textId="561326CE" w:rsidR="00E70AAF" w:rsidRPr="00582C13" w:rsidRDefault="00E70AA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Aby móc skorzystać z tego wzoru musimy oszacować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u</m:t>
            </m:r>
          </m:e>
        </m:d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czyli proporcje obserwacji, które nie przekraczają progu. Naturalnym sposobem jest wykorzystanie empirycznie obserwowanej proporcji:</w:t>
      </w:r>
    </w:p>
    <w:p w14:paraId="3D7D3209" w14:textId="3CE7C6BD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06F55312" w14:textId="40801E42" w:rsidR="00E70AAF" w:rsidRPr="00582C13" w:rsidRDefault="00800326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w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tedy otrzymujemy:</w:t>
      </w:r>
    </w:p>
    <w:p w14:paraId="0C809E2D" w14:textId="16051FCD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1+ξ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x-u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3D40E683" w14:textId="6C09FF53" w:rsidR="00E70AAF" w:rsidRPr="00582C13" w:rsidRDefault="00800326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>o</w:t>
      </w:r>
      <w:r w:rsidR="00890AD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statecznie wartość zagrożoną można oszacować z wykorzystaniem następującej formuły</w:t>
      </w:r>
      <w:r w:rsidR="00E70AAF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</w:p>
    <w:p w14:paraId="7DD7F1F9" w14:textId="77777777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</w:p>
    <w:p w14:paraId="606ADB1C" w14:textId="39554006" w:rsidR="00E70AAF" w:rsidRPr="00582C13" w:rsidRDefault="00E70AAF" w:rsidP="00E70AAF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VaR=u+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ξ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-ξ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62B40316" w14:textId="77777777" w:rsidR="00FB6C67" w:rsidRPr="00582C13" w:rsidRDefault="00FB6C67">
      <w:pPr>
        <w:rPr>
          <w:rFonts w:cstheme="minorHAnsi"/>
          <w:sz w:val="24"/>
          <w:szCs w:val="24"/>
        </w:rPr>
      </w:pPr>
    </w:p>
    <w:p w14:paraId="65626361" w14:textId="42601757" w:rsidR="00C005E2" w:rsidRPr="00582C13" w:rsidRDefault="00C005E2" w:rsidP="00C005E2">
      <w:pPr>
        <w:pStyle w:val="Nagwek1"/>
        <w:rPr>
          <w:rFonts w:cstheme="majorHAnsi"/>
        </w:rPr>
      </w:pPr>
      <w:r w:rsidRPr="00582C13">
        <w:rPr>
          <w:rFonts w:cstheme="majorHAnsi"/>
        </w:rPr>
        <w:t>Weryfikacja poprawności oszacowań</w:t>
      </w:r>
    </w:p>
    <w:p w14:paraId="7B6C4855" w14:textId="05C60CAF" w:rsidR="004B26BC" w:rsidRPr="00582C13" w:rsidRDefault="004B26BC" w:rsidP="004B26BC">
      <w:pPr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Podstawowym sposobem weryfikacji otrzymanych oszacowań jest testowanie wsteczne (</w:t>
      </w:r>
      <w:r w:rsidR="00F53520" w:rsidRPr="00582C13">
        <w:rPr>
          <w:rFonts w:cstheme="minorHAnsi"/>
          <w:sz w:val="24"/>
          <w:szCs w:val="24"/>
        </w:rPr>
        <w:t xml:space="preserve">ang. </w:t>
      </w:r>
      <w:proofErr w:type="spellStart"/>
      <w:r w:rsidRPr="00582C13">
        <w:rPr>
          <w:rFonts w:cstheme="minorHAnsi"/>
          <w:sz w:val="24"/>
          <w:szCs w:val="24"/>
        </w:rPr>
        <w:t>backtesting</w:t>
      </w:r>
      <w:proofErr w:type="spellEnd"/>
      <w:r w:rsidRPr="00582C13">
        <w:rPr>
          <w:rFonts w:cstheme="minorHAnsi"/>
          <w:sz w:val="24"/>
          <w:szCs w:val="24"/>
        </w:rPr>
        <w:t>).</w:t>
      </w:r>
    </w:p>
    <w:p w14:paraId="46F031CA" w14:textId="53E8DBB7" w:rsidR="004B26BC" w:rsidRPr="00582C13" w:rsidRDefault="004B26BC" w:rsidP="004B26BC">
      <w:pPr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Poprawny model prognozujący wartość zagrożoną powinien cechować się dwoma podstawowymi własnościami:</w:t>
      </w:r>
    </w:p>
    <w:p w14:paraId="2741EE1F" w14:textId="132FEC3F" w:rsidR="004B26BC" w:rsidRPr="00582C13" w:rsidRDefault="004B26BC" w:rsidP="004B26B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Historyczna liczba przekroczeń wartości zagrożonej powinna być zbieżna z przyjęty</w:t>
      </w:r>
      <w:r w:rsidR="00F53520" w:rsidRPr="00582C13">
        <w:rPr>
          <w:rFonts w:cstheme="minorHAnsi"/>
          <w:sz w:val="24"/>
          <w:szCs w:val="24"/>
        </w:rPr>
        <w:t>m</w:t>
      </w:r>
      <w:r w:rsidRPr="00582C13">
        <w:rPr>
          <w:rFonts w:cstheme="minorHAnsi"/>
          <w:sz w:val="24"/>
          <w:szCs w:val="24"/>
        </w:rPr>
        <w:t xml:space="preserve"> poziomem istotności</w:t>
      </w:r>
      <w:r w:rsidR="00F53520" w:rsidRPr="00582C13">
        <w:rPr>
          <w:rFonts w:cstheme="minorHAnsi"/>
          <w:sz w:val="24"/>
          <w:szCs w:val="24"/>
        </w:rPr>
        <w:t>;</w:t>
      </w:r>
    </w:p>
    <w:p w14:paraId="5F91763A" w14:textId="311A51B4" w:rsidR="004B26BC" w:rsidRPr="00582C13" w:rsidRDefault="004B26BC" w:rsidP="004B26B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Przekroczenia powinny być równomiernie rozłożone w czasie.</w:t>
      </w:r>
    </w:p>
    <w:p w14:paraId="59BD2DCC" w14:textId="503777E1" w:rsidR="004B26BC" w:rsidRPr="00582C13" w:rsidRDefault="004B26BC" w:rsidP="004B26BC">
      <w:pPr>
        <w:rPr>
          <w:rFonts w:cstheme="minorHAnsi"/>
          <w:sz w:val="24"/>
          <w:szCs w:val="24"/>
        </w:rPr>
      </w:pPr>
    </w:p>
    <w:p w14:paraId="7AFEE60D" w14:textId="02F2457F" w:rsidR="004B26BC" w:rsidRPr="00582C13" w:rsidRDefault="004B26BC" w:rsidP="004B26BC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Pierwsza z własności wynika bezpośrednio z definicji wartości zagrożonej: jeżeli oszacowaną maksymalną stratę na 95</w:t>
      </w:r>
      <w:r w:rsidR="00BF1E44" w:rsidRPr="00582C13">
        <w:rPr>
          <w:rFonts w:cstheme="minorHAnsi"/>
          <w:sz w:val="24"/>
          <w:szCs w:val="24"/>
        </w:rPr>
        <w:t>%</w:t>
      </w:r>
      <w:r w:rsidRPr="00582C13">
        <w:rPr>
          <w:rFonts w:cstheme="minorHAnsi"/>
          <w:sz w:val="24"/>
          <w:szCs w:val="24"/>
        </w:rPr>
        <w:t xml:space="preserve"> poziomie prawdopodobieństwa to historycznie tylko 5% zwrotów powinny stanowić dotkliwsze straty. Natomiast druga własność odnosi się do możliwości adaptacyjny</w:t>
      </w:r>
      <w:r w:rsidR="00F53520" w:rsidRPr="00582C13">
        <w:rPr>
          <w:rFonts w:cstheme="minorHAnsi"/>
          <w:sz w:val="24"/>
          <w:szCs w:val="24"/>
        </w:rPr>
        <w:t>ch</w:t>
      </w:r>
      <w:r w:rsidRPr="00582C13">
        <w:rPr>
          <w:rFonts w:cstheme="minorHAnsi"/>
          <w:sz w:val="24"/>
          <w:szCs w:val="24"/>
        </w:rPr>
        <w:t xml:space="preserve"> modelu w kontekście zmieniających się warunków rynkowych. </w:t>
      </w:r>
      <w:r w:rsidR="00BF1E44" w:rsidRPr="00582C13">
        <w:rPr>
          <w:rFonts w:cstheme="minorHAnsi"/>
          <w:sz w:val="24"/>
          <w:szCs w:val="24"/>
        </w:rPr>
        <w:t>Następujące bezpośrednio po sobie przekroczenia mogłyby wskazywać na to, że model nie działa prawidłowo w momentach podwyższonej zmienności i jednocześnie przeszacowuje ryzyko przy spokojnym rynku.</w:t>
      </w:r>
    </w:p>
    <w:p w14:paraId="0E604A84" w14:textId="1938C924" w:rsidR="004B26BC" w:rsidRPr="00582C13" w:rsidRDefault="004B26BC" w:rsidP="004B26BC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Pierwszą z pożądanych własności można zweryfikować z wykorzystaniem testu Kupca</w:t>
      </w:r>
      <w:r w:rsidR="00F53520" w:rsidRPr="00582C13">
        <w:rPr>
          <w:rFonts w:cstheme="minorHAnsi"/>
          <w:sz w:val="24"/>
          <w:szCs w:val="24"/>
        </w:rPr>
        <w:t xml:space="preserve"> </w:t>
      </w:r>
      <w:r w:rsidRPr="00582C13">
        <w:rPr>
          <w:rFonts w:cstheme="minorHAnsi"/>
          <w:sz w:val="24"/>
          <w:szCs w:val="24"/>
        </w:rPr>
        <w:t>(</w:t>
      </w:r>
      <w:r w:rsidR="00AC6EBE" w:rsidRPr="00582C13">
        <w:rPr>
          <w:rFonts w:cstheme="minorHAnsi"/>
          <w:sz w:val="24"/>
          <w:szCs w:val="24"/>
        </w:rPr>
        <w:t>1995</w:t>
      </w:r>
      <w:r w:rsidRPr="00582C13">
        <w:rPr>
          <w:rFonts w:cstheme="minorHAnsi"/>
          <w:sz w:val="24"/>
          <w:szCs w:val="24"/>
        </w:rPr>
        <w:t>)</w:t>
      </w:r>
      <w:r w:rsidR="00F53520" w:rsidRPr="00582C13">
        <w:rPr>
          <w:rFonts w:cstheme="minorHAnsi"/>
          <w:sz w:val="24"/>
          <w:szCs w:val="24"/>
        </w:rPr>
        <w:t>,</w:t>
      </w:r>
      <w:r w:rsidRPr="00582C13">
        <w:rPr>
          <w:rFonts w:cstheme="minorHAnsi"/>
          <w:sz w:val="24"/>
          <w:szCs w:val="24"/>
        </w:rPr>
        <w:t xml:space="preserve"> a drugą za pomocą testu </w:t>
      </w:r>
      <w:proofErr w:type="spellStart"/>
      <w:r w:rsidRPr="00582C13">
        <w:rPr>
          <w:rFonts w:cstheme="minorHAnsi"/>
          <w:sz w:val="24"/>
          <w:szCs w:val="24"/>
        </w:rPr>
        <w:t>Christoffersena</w:t>
      </w:r>
      <w:proofErr w:type="spellEnd"/>
      <w:r w:rsidR="00F53520" w:rsidRPr="00582C13">
        <w:rPr>
          <w:rFonts w:cstheme="minorHAnsi"/>
          <w:sz w:val="24"/>
          <w:szCs w:val="24"/>
        </w:rPr>
        <w:t xml:space="preserve"> </w:t>
      </w:r>
      <w:r w:rsidRPr="00582C13">
        <w:rPr>
          <w:rFonts w:cstheme="minorHAnsi"/>
          <w:sz w:val="24"/>
          <w:szCs w:val="24"/>
        </w:rPr>
        <w:t>(</w:t>
      </w:r>
      <w:r w:rsidR="00AC6EBE" w:rsidRPr="00582C13">
        <w:rPr>
          <w:rFonts w:cstheme="minorHAnsi"/>
          <w:sz w:val="24"/>
          <w:szCs w:val="24"/>
        </w:rPr>
        <w:t>1998</w:t>
      </w:r>
      <w:r w:rsidRPr="00582C13">
        <w:rPr>
          <w:rFonts w:cstheme="minorHAnsi"/>
          <w:sz w:val="24"/>
          <w:szCs w:val="24"/>
        </w:rPr>
        <w:t>).</w:t>
      </w:r>
    </w:p>
    <w:p w14:paraId="6FE60DFA" w14:textId="7EEFBE20" w:rsidR="004B26BC" w:rsidRPr="00582C13" w:rsidRDefault="004B26BC" w:rsidP="004B26BC">
      <w:pPr>
        <w:jc w:val="both"/>
        <w:rPr>
          <w:rFonts w:cstheme="minorHAnsi"/>
          <w:sz w:val="24"/>
          <w:szCs w:val="24"/>
        </w:rPr>
      </w:pPr>
    </w:p>
    <w:p w14:paraId="4E5DDECA" w14:textId="7E9B4BAE" w:rsidR="00685675" w:rsidRPr="00582C13" w:rsidRDefault="00685675" w:rsidP="004B26BC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Układ hipotez i statystyka testowa testu </w:t>
      </w:r>
      <w:r w:rsidR="00BF1E44" w:rsidRPr="00582C13">
        <w:rPr>
          <w:rFonts w:cstheme="minorHAnsi"/>
          <w:sz w:val="24"/>
          <w:szCs w:val="24"/>
        </w:rPr>
        <w:t>K</w:t>
      </w:r>
      <w:r w:rsidRPr="00582C13">
        <w:rPr>
          <w:rFonts w:cstheme="minorHAnsi"/>
          <w:sz w:val="24"/>
          <w:szCs w:val="24"/>
        </w:rPr>
        <w:t>upca określone są następująco:</w:t>
      </w:r>
    </w:p>
    <w:p w14:paraId="1A3616DA" w14:textId="77777777" w:rsidR="00685675" w:rsidRPr="00582C13" w:rsidRDefault="00F00BDF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D0D0D" w:themeColor="text1" w:themeTint="F2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D0D0D" w:themeColor="text1" w:themeTint="F2"/>
              <w:sz w:val="24"/>
              <w:szCs w:val="24"/>
            </w:rPr>
            <m:t>:f=α,</m:t>
          </m:r>
        </m:oMath>
      </m:oMathPara>
    </w:p>
    <w:p w14:paraId="28176A29" w14:textId="1686057E" w:rsidR="00685675" w:rsidRPr="00582C13" w:rsidRDefault="00F00BDF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:f≠α,</m:t>
          </m:r>
        </m:oMath>
      </m:oMathPara>
    </w:p>
    <w:p w14:paraId="25506CE1" w14:textId="77777777" w:rsidR="00685675" w:rsidRPr="00582C13" w:rsidRDefault="00685675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</w:p>
    <w:p w14:paraId="196DC03E" w14:textId="77777777" w:rsidR="00685675" w:rsidRPr="00582C13" w:rsidRDefault="00F00BDF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LR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POF</m:t>
              </m:r>
            </m:sub>
          </m:sSub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=2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4"/>
                      <w:szCs w:val="24"/>
                    </w:rPr>
                    <m:t>(1-α)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]</m:t>
              </m:r>
            </m:e>
          </m:d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2274CF76" w14:textId="72A52AB7" w:rsidR="00685675" w:rsidRPr="00582C13" w:rsidRDefault="00582C13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</w:t>
      </w:r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dzie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jest liczbą przekroczeń</w:t>
      </w:r>
      <w:r w:rsidR="00BF1E44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</w:p>
    <w:p w14:paraId="76479989" w14:textId="32893409" w:rsidR="00685675" w:rsidRPr="00582C13" w:rsidRDefault="00685675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liczbą obserwacji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</w:p>
    <w:p w14:paraId="1FAB972A" w14:textId="77777777" w:rsidR="00BF1E44" w:rsidRPr="00582C13" w:rsidRDefault="00685675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F liczbą przekroczeń,</w:t>
      </w:r>
    </w:p>
    <w:p w14:paraId="33DA1B66" w14:textId="48EBF890" w:rsidR="00685675" w:rsidRPr="00582C13" w:rsidRDefault="00685675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theme="minorHAnsi"/>
            <w:color w:val="0D0D0D" w:themeColor="text1" w:themeTint="F2"/>
            <w:sz w:val="24"/>
            <w:szCs w:val="24"/>
          </w:rPr>
          <m:t>α</m:t>
        </m:r>
      </m:oMath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to poziom ufności.</w:t>
      </w:r>
    </w:p>
    <w:p w14:paraId="5159F0FE" w14:textId="549DFB76" w:rsidR="00685675" w:rsidRPr="00582C13" w:rsidRDefault="00685675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lastRenderedPageBreak/>
        <w:t>Hipoteza zerowa oznacza, że liczba przekroczeń jest zgodna z założonym poziomem istotności i jest odrzucana zarówno w przypadku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gdy model przeszacowuje jak i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niedoszacowuje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VaR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.</w:t>
      </w:r>
    </w:p>
    <w:p w14:paraId="2D2B7087" w14:textId="57CBB1A2" w:rsidR="00685675" w:rsidRPr="00582C13" w:rsidRDefault="00685675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Przy prawdziwej hipotezie zerowej statystyka ma rozkład chi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-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kwadrat o jednym stopniu swobody. </w:t>
      </w:r>
    </w:p>
    <w:p w14:paraId="7B05EC53" w14:textId="5369BC34" w:rsidR="00685675" w:rsidRPr="00582C13" w:rsidRDefault="00685675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Natomiast układ hipotez i statystyka testowa dla testu </w:t>
      </w:r>
      <w:proofErr w:type="spellStart"/>
      <w:r w:rsidRPr="00582C13">
        <w:rPr>
          <w:rFonts w:cstheme="minorHAnsi"/>
          <w:sz w:val="24"/>
          <w:szCs w:val="24"/>
        </w:rPr>
        <w:t>Christoffersena</w:t>
      </w:r>
      <w:proofErr w:type="spellEnd"/>
      <w:r w:rsidR="00F53520" w:rsidRPr="00582C13">
        <w:rPr>
          <w:rFonts w:cstheme="minorHAnsi"/>
          <w:sz w:val="24"/>
          <w:szCs w:val="24"/>
        </w:rPr>
        <w:t xml:space="preserve"> </w:t>
      </w:r>
      <w:r w:rsidRPr="00582C13">
        <w:rPr>
          <w:rFonts w:cstheme="minorHAnsi"/>
          <w:sz w:val="24"/>
          <w:szCs w:val="24"/>
        </w:rPr>
        <w:t>(1998) są następujące:</w:t>
      </w:r>
    </w:p>
    <w:p w14:paraId="3A6B3300" w14:textId="77777777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 Przekroczenie niezależne w czasie</w:t>
      </w:r>
    </w:p>
    <w:p w14:paraId="3D906C74" w14:textId="1A65F454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 Przekroczenia zależne w czasie (zależności w charakterze łańcuchów Markowa pierwszego rzędu)</w:t>
      </w:r>
    </w:p>
    <w:p w14:paraId="689D75BB" w14:textId="71F4B3C5" w:rsidR="00685675" w:rsidRPr="00582C13" w:rsidRDefault="00F00BDF" w:rsidP="00685675">
      <w:pPr>
        <w:spacing w:line="240" w:lineRule="auto"/>
        <w:rPr>
          <w:rFonts w:eastAsiaTheme="minorEastAsia" w:cstheme="minorHAnsi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LR</m:t>
              </m:r>
            </m:e>
            <m:sub>
              <m: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IND</m:t>
              </m:r>
            </m:sub>
          </m:sSub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00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-2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D0D0D" w:themeColor="text1" w:themeTint="F2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7BBA6DBB" w14:textId="438B35F1" w:rsidR="00685675" w:rsidRPr="00582C13" w:rsidRDefault="00582C13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g</w:t>
      </w:r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dzie</w:t>
      </w:r>
      <w:r w:rsidR="00F53520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:</w:t>
      </w:r>
    </w:p>
    <w:p w14:paraId="3A10A73B" w14:textId="59A509A4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00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– liczba braków przekroczeń  VaR następujących bezpośrednio po brakach przekroczeń</w:t>
      </w:r>
      <w:r w:rsidR="00582C1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</w:p>
    <w:p w14:paraId="2BEC457F" w14:textId="2B6FB9E9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01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– liczba przekroczeń VaR następujących bezpośrednio po brakach przekroczeń</w:t>
      </w:r>
      <w:r w:rsidR="00582C1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</w:p>
    <w:p w14:paraId="2232E26B" w14:textId="783BF79B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10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– liczba braków przekroczeń następujących bezpośrednio po przekroczeniach</w:t>
      </w:r>
      <w:r w:rsidR="00582C1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</w:p>
    <w:p w14:paraId="44F47B54" w14:textId="2F96FEF4" w:rsidR="00685675" w:rsidRPr="00582C13" w:rsidRDefault="00F00BDF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D0D0D" w:themeColor="text1" w:themeTint="F2"/>
                <w:sz w:val="24"/>
                <w:szCs w:val="24"/>
              </w:rPr>
              <m:t>11</m:t>
            </m:r>
          </m:sub>
        </m:sSub>
      </m:oMath>
      <w:r w:rsidR="00685675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– liczba przekroczeń VaR następujących bezpośrednio po przekroczeniach</w:t>
      </w:r>
      <w:r w:rsidR="00582C13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.</w:t>
      </w:r>
    </w:p>
    <w:p w14:paraId="5C6725B2" w14:textId="6066946B" w:rsidR="00685675" w:rsidRPr="00582C13" w:rsidRDefault="00685675" w:rsidP="00582C13">
      <w:pPr>
        <w:spacing w:line="240" w:lineRule="auto"/>
        <w:jc w:val="both"/>
        <w:rPr>
          <w:rFonts w:eastAsiaTheme="minorEastAsia" w:cstheme="minorHAnsi"/>
          <w:color w:val="0D0D0D" w:themeColor="text1" w:themeTint="F2"/>
          <w:sz w:val="24"/>
          <w:szCs w:val="24"/>
        </w:rPr>
      </w:pP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Przy prawdziwej hipotezie zerowej statystyka ma rozkład asymptotycznie zbieżny do rozkładu chi-kwadrat z jednym stopniem swobody</w:t>
      </w:r>
      <w:r w:rsidR="003F5FE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(</w:t>
      </w:r>
      <w:proofErr w:type="spellStart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Lusztyn</w:t>
      </w:r>
      <w:proofErr w:type="spellEnd"/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,</w:t>
      </w:r>
      <w:r w:rsidR="003F5FEB" w:rsidRPr="00582C13">
        <w:rPr>
          <w:rFonts w:eastAsiaTheme="minorEastAsia" w:cstheme="minorHAnsi"/>
          <w:color w:val="0D0D0D" w:themeColor="text1" w:themeTint="F2"/>
          <w:sz w:val="24"/>
          <w:szCs w:val="24"/>
        </w:rPr>
        <w:t xml:space="preserve"> </w:t>
      </w:r>
      <w:r w:rsidRPr="00582C13">
        <w:rPr>
          <w:rFonts w:eastAsiaTheme="minorEastAsia" w:cstheme="minorHAnsi"/>
          <w:color w:val="0D0D0D" w:themeColor="text1" w:themeTint="F2"/>
          <w:sz w:val="24"/>
          <w:szCs w:val="24"/>
        </w:rPr>
        <w:t>2013).</w:t>
      </w:r>
    </w:p>
    <w:p w14:paraId="5E657CC0" w14:textId="06AABA2B" w:rsidR="00A40581" w:rsidRPr="00582C13" w:rsidRDefault="00E70AAF" w:rsidP="00582C13">
      <w:pPr>
        <w:pStyle w:val="Nagwek1"/>
        <w:rPr>
          <w:rFonts w:asciiTheme="minorHAnsi" w:hAnsiTheme="minorHAnsi" w:cstheme="minorHAnsi"/>
        </w:rPr>
      </w:pPr>
      <w:r w:rsidRPr="00582C13">
        <w:rPr>
          <w:rFonts w:asciiTheme="minorHAnsi" w:hAnsiTheme="minorHAnsi" w:cstheme="minorHAnsi"/>
        </w:rPr>
        <w:t>Rezultaty Empiryczne</w:t>
      </w:r>
    </w:p>
    <w:p w14:paraId="368960D8" w14:textId="5FA0BAC4" w:rsidR="00A40581" w:rsidRPr="00582C13" w:rsidRDefault="00472263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Wartość indeksu </w:t>
      </w:r>
      <w:proofErr w:type="spellStart"/>
      <w:r w:rsidRPr="00582C13">
        <w:rPr>
          <w:rFonts w:cstheme="minorHAnsi"/>
          <w:sz w:val="24"/>
          <w:szCs w:val="24"/>
        </w:rPr>
        <w:t>Nasdaq</w:t>
      </w:r>
      <w:proofErr w:type="spellEnd"/>
      <w:r w:rsidRPr="00582C13">
        <w:rPr>
          <w:rFonts w:cstheme="minorHAnsi"/>
          <w:sz w:val="24"/>
          <w:szCs w:val="24"/>
        </w:rPr>
        <w:t xml:space="preserve"> </w:t>
      </w:r>
      <w:proofErr w:type="spellStart"/>
      <w:r w:rsidRPr="00582C13">
        <w:rPr>
          <w:rFonts w:cstheme="minorHAnsi"/>
          <w:sz w:val="24"/>
          <w:szCs w:val="24"/>
        </w:rPr>
        <w:t>Composite</w:t>
      </w:r>
      <w:proofErr w:type="spellEnd"/>
      <w:r w:rsidRPr="00582C13">
        <w:rPr>
          <w:rFonts w:cstheme="minorHAnsi"/>
          <w:sz w:val="24"/>
          <w:szCs w:val="24"/>
        </w:rPr>
        <w:t xml:space="preserve"> w analizował okresie cechowała się trendem wzrostowym. </w:t>
      </w:r>
    </w:p>
    <w:p w14:paraId="3429D635" w14:textId="47CD4FC4" w:rsidR="00472263" w:rsidRPr="00582C13" w:rsidRDefault="00801EAD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>Należy zwrócić uwagę na okres podwyższonej zmienności mający miejsce w okolicach marca oraz kwietnia 2020 roku.</w:t>
      </w:r>
    </w:p>
    <w:p w14:paraId="036DC544" w14:textId="766FB540" w:rsidR="00A40581" w:rsidRPr="00582C13" w:rsidRDefault="00A40581" w:rsidP="00A40581">
      <w:pPr>
        <w:rPr>
          <w:rFonts w:cstheme="minorHAnsi"/>
          <w:sz w:val="24"/>
          <w:szCs w:val="24"/>
        </w:rPr>
      </w:pPr>
      <w:r w:rsidRPr="00582C1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AAC1B3" wp14:editId="4971FBC7">
            <wp:extent cx="5759450" cy="6140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A6AA" w14:textId="4F551D67" w:rsidR="00054FAB" w:rsidRPr="00582C13" w:rsidRDefault="00054FAB" w:rsidP="00054FAB">
      <w:pPr>
        <w:rPr>
          <w:rFonts w:cstheme="minorHAnsi"/>
          <w:sz w:val="24"/>
          <w:szCs w:val="24"/>
        </w:rPr>
      </w:pPr>
    </w:p>
    <w:p w14:paraId="0F55D795" w14:textId="272DA8EF" w:rsidR="00A40581" w:rsidRPr="00582C13" w:rsidRDefault="00A40581" w:rsidP="00054FAB">
      <w:pPr>
        <w:rPr>
          <w:rFonts w:cstheme="minorHAnsi"/>
          <w:sz w:val="24"/>
          <w:szCs w:val="24"/>
        </w:rPr>
      </w:pPr>
      <w:r w:rsidRPr="00582C1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02EB3C" wp14:editId="16070A95">
            <wp:extent cx="4870450" cy="35052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C13">
        <w:rPr>
          <w:rFonts w:cstheme="minorHAnsi"/>
          <w:noProof/>
          <w:sz w:val="24"/>
          <w:szCs w:val="24"/>
        </w:rPr>
        <w:drawing>
          <wp:inline distT="0" distB="0" distL="0" distR="0" wp14:anchorId="4D43C2EB" wp14:editId="5FCDCD09">
            <wp:extent cx="4870450" cy="350520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9226" w14:textId="41F180FB" w:rsidR="00A40581" w:rsidRPr="00582C13" w:rsidRDefault="00A40581" w:rsidP="00054FAB">
      <w:pPr>
        <w:rPr>
          <w:rFonts w:cstheme="minorHAnsi"/>
          <w:sz w:val="24"/>
          <w:szCs w:val="24"/>
        </w:rPr>
      </w:pPr>
    </w:p>
    <w:p w14:paraId="68EDEF74" w14:textId="0B081FEB" w:rsidR="00A40581" w:rsidRPr="00582C13" w:rsidRDefault="00A40581" w:rsidP="00054FAB">
      <w:pPr>
        <w:rPr>
          <w:rFonts w:cstheme="minorHAnsi"/>
          <w:sz w:val="24"/>
          <w:szCs w:val="24"/>
        </w:rPr>
      </w:pPr>
    </w:p>
    <w:p w14:paraId="51BD27A1" w14:textId="60A61A3C" w:rsidR="00A40581" w:rsidRPr="00582C13" w:rsidRDefault="00A40581" w:rsidP="00054FAB">
      <w:pPr>
        <w:rPr>
          <w:rFonts w:cstheme="minorHAnsi"/>
          <w:sz w:val="24"/>
          <w:szCs w:val="24"/>
        </w:rPr>
      </w:pPr>
    </w:p>
    <w:p w14:paraId="5F496C53" w14:textId="1ECDA803" w:rsidR="00A40581" w:rsidRPr="00582C13" w:rsidRDefault="00A40581" w:rsidP="00054FAB">
      <w:pPr>
        <w:rPr>
          <w:rFonts w:cstheme="minorHAnsi"/>
          <w:sz w:val="24"/>
          <w:szCs w:val="24"/>
        </w:rPr>
      </w:pPr>
    </w:p>
    <w:p w14:paraId="52B3383B" w14:textId="77777777" w:rsidR="00A40581" w:rsidRPr="00582C13" w:rsidRDefault="00A40581" w:rsidP="00054FAB">
      <w:pPr>
        <w:rPr>
          <w:rFonts w:cstheme="minorHAnsi"/>
          <w:sz w:val="24"/>
          <w:szCs w:val="24"/>
        </w:rPr>
      </w:pPr>
    </w:p>
    <w:p w14:paraId="5510BCF7" w14:textId="646AB30A" w:rsidR="00801EAD" w:rsidRPr="00582C13" w:rsidRDefault="00801EAD" w:rsidP="00801EAD">
      <w:pPr>
        <w:pStyle w:val="Legenda"/>
        <w:keepNext/>
        <w:rPr>
          <w:rFonts w:cstheme="minorHAnsi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582C13">
        <w:rPr>
          <w:rFonts w:cstheme="minorHAnsi"/>
          <w:b/>
          <w:bCs/>
          <w:i w:val="0"/>
          <w:iCs w:val="0"/>
          <w:color w:val="0D0D0D" w:themeColor="text1" w:themeTint="F2"/>
          <w:sz w:val="24"/>
          <w:szCs w:val="24"/>
        </w:rPr>
        <w:lastRenderedPageBreak/>
        <w:t>Oczekiwana a rzeczywista liczba przekroczeń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4FAB" w:rsidRPr="00582C13" w14:paraId="77F473EF" w14:textId="77777777" w:rsidTr="00054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693D51" w14:textId="7A7BD6BC" w:rsidR="00054FAB" w:rsidRPr="00582C13" w:rsidRDefault="00054FAB" w:rsidP="00054FAB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Estymowana miara</w:t>
            </w:r>
          </w:p>
        </w:tc>
        <w:tc>
          <w:tcPr>
            <w:tcW w:w="3021" w:type="dxa"/>
          </w:tcPr>
          <w:p w14:paraId="5E620598" w14:textId="308C7587" w:rsidR="00054FAB" w:rsidRPr="00582C13" w:rsidRDefault="00054FAB" w:rsidP="00054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Oczekiwana liczba przekroczeń</w:t>
            </w:r>
          </w:p>
        </w:tc>
        <w:tc>
          <w:tcPr>
            <w:tcW w:w="3021" w:type="dxa"/>
          </w:tcPr>
          <w:p w14:paraId="717D88C2" w14:textId="26FAEC4D" w:rsidR="00054FAB" w:rsidRPr="00582C13" w:rsidRDefault="00054FAB" w:rsidP="00054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Rzeczywista liczba przekroczeń</w:t>
            </w:r>
          </w:p>
        </w:tc>
      </w:tr>
      <w:tr w:rsidR="00054FAB" w:rsidRPr="00582C13" w14:paraId="06125B83" w14:textId="77777777" w:rsidTr="00054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108298" w14:textId="3AB24407" w:rsidR="00054FAB" w:rsidRPr="00582C13" w:rsidRDefault="00054FAB" w:rsidP="00054FA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2C13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582C13">
              <w:rPr>
                <w:rFonts w:cstheme="minorHAnsi"/>
                <w:sz w:val="24"/>
                <w:szCs w:val="24"/>
              </w:rPr>
              <w:t xml:space="preserve"> 95</w:t>
            </w:r>
          </w:p>
        </w:tc>
        <w:tc>
          <w:tcPr>
            <w:tcW w:w="3021" w:type="dxa"/>
          </w:tcPr>
          <w:p w14:paraId="2C6EFB47" w14:textId="63F1F264" w:rsidR="00054FAB" w:rsidRPr="00582C13" w:rsidRDefault="00054FAB" w:rsidP="00054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021" w:type="dxa"/>
          </w:tcPr>
          <w:p w14:paraId="38AAA896" w14:textId="4185CA64" w:rsidR="00054FAB" w:rsidRPr="00582C13" w:rsidRDefault="00054FAB" w:rsidP="00054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054FAB" w:rsidRPr="00582C13" w14:paraId="759B07E6" w14:textId="77777777" w:rsidTr="0005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F66CC6" w14:textId="60447532" w:rsidR="00054FAB" w:rsidRPr="00582C13" w:rsidRDefault="00054FAB" w:rsidP="00054FAB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MS 95</w:t>
            </w:r>
          </w:p>
        </w:tc>
        <w:tc>
          <w:tcPr>
            <w:tcW w:w="3021" w:type="dxa"/>
          </w:tcPr>
          <w:p w14:paraId="30B7D09B" w14:textId="61179695" w:rsidR="00054FAB" w:rsidRPr="00582C13" w:rsidRDefault="00054FAB" w:rsidP="00054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16CA9AA2" w14:textId="60F8B39C" w:rsidR="00054FAB" w:rsidRPr="00582C13" w:rsidRDefault="00054FAB" w:rsidP="00054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531442AB" w14:textId="77777777" w:rsidR="00D264E1" w:rsidRPr="00582C13" w:rsidRDefault="00D264E1" w:rsidP="00D264E1">
      <w:pPr>
        <w:rPr>
          <w:rFonts w:cstheme="minorHAnsi"/>
          <w:sz w:val="24"/>
          <w:szCs w:val="24"/>
        </w:rPr>
      </w:pPr>
    </w:p>
    <w:p w14:paraId="292AC0FD" w14:textId="2421633D" w:rsidR="00801EAD" w:rsidRPr="00582C13" w:rsidRDefault="00801EAD" w:rsidP="00801EAD">
      <w:pPr>
        <w:pStyle w:val="Legenda"/>
        <w:keepNext/>
        <w:rPr>
          <w:rFonts w:cstheme="minorHAnsi"/>
          <w:b/>
          <w:bCs/>
          <w:i w:val="0"/>
          <w:iCs w:val="0"/>
          <w:color w:val="0D0D0D" w:themeColor="text1" w:themeTint="F2"/>
          <w:sz w:val="24"/>
          <w:szCs w:val="24"/>
        </w:rPr>
      </w:pPr>
      <w:r w:rsidRPr="00582C13">
        <w:rPr>
          <w:rFonts w:cstheme="minorHAnsi"/>
          <w:b/>
          <w:bCs/>
          <w:i w:val="0"/>
          <w:iCs w:val="0"/>
          <w:color w:val="0D0D0D" w:themeColor="text1" w:themeTint="F2"/>
          <w:sz w:val="24"/>
          <w:szCs w:val="24"/>
        </w:rPr>
        <w:t>Wyniki testu kupca</w:t>
      </w: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264E1" w:rsidRPr="00582C13" w14:paraId="393A95BC" w14:textId="77777777" w:rsidTr="00D2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B6C3C9" w14:textId="704DCA4A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 xml:space="preserve">Estymowana </w:t>
            </w:r>
            <w:r w:rsidR="003F3940">
              <w:rPr>
                <w:rFonts w:cstheme="minorHAnsi"/>
                <w:sz w:val="24"/>
                <w:szCs w:val="24"/>
              </w:rPr>
              <w:t>m</w:t>
            </w:r>
            <w:r w:rsidRPr="00582C13">
              <w:rPr>
                <w:rFonts w:cstheme="minorHAnsi"/>
                <w:sz w:val="24"/>
                <w:szCs w:val="24"/>
              </w:rPr>
              <w:t>iara</w:t>
            </w:r>
          </w:p>
        </w:tc>
        <w:tc>
          <w:tcPr>
            <w:tcW w:w="2265" w:type="dxa"/>
          </w:tcPr>
          <w:p w14:paraId="5981B063" w14:textId="755232AE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Wartość statystki</w:t>
            </w:r>
          </w:p>
        </w:tc>
        <w:tc>
          <w:tcPr>
            <w:tcW w:w="2266" w:type="dxa"/>
          </w:tcPr>
          <w:p w14:paraId="5F58B2E9" w14:textId="52578609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Wartość p</w:t>
            </w:r>
          </w:p>
        </w:tc>
        <w:tc>
          <w:tcPr>
            <w:tcW w:w="2266" w:type="dxa"/>
          </w:tcPr>
          <w:p w14:paraId="68D47287" w14:textId="55672456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Decyzja</w:t>
            </w:r>
          </w:p>
        </w:tc>
      </w:tr>
      <w:tr w:rsidR="00D264E1" w:rsidRPr="00582C13" w14:paraId="2F25FA91" w14:textId="77777777" w:rsidTr="00D2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8F2E55" w14:textId="33BEAACB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2C13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582C13">
              <w:rPr>
                <w:rFonts w:cstheme="minorHAnsi"/>
                <w:sz w:val="24"/>
                <w:szCs w:val="24"/>
              </w:rPr>
              <w:t xml:space="preserve"> 95</w:t>
            </w:r>
          </w:p>
        </w:tc>
        <w:tc>
          <w:tcPr>
            <w:tcW w:w="2265" w:type="dxa"/>
          </w:tcPr>
          <w:p w14:paraId="6AF12EF8" w14:textId="3B4EE224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0,2939646</w:t>
            </w:r>
          </w:p>
        </w:tc>
        <w:tc>
          <w:tcPr>
            <w:tcW w:w="2266" w:type="dxa"/>
          </w:tcPr>
          <w:p w14:paraId="41A3D3DC" w14:textId="13B70639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0,587691</w:t>
            </w:r>
          </w:p>
        </w:tc>
        <w:tc>
          <w:tcPr>
            <w:tcW w:w="2266" w:type="dxa"/>
          </w:tcPr>
          <w:p w14:paraId="45036AD3" w14:textId="6DEC719F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Brak podstaw do odrzucenia H0</w:t>
            </w:r>
          </w:p>
        </w:tc>
      </w:tr>
      <w:tr w:rsidR="00D264E1" w:rsidRPr="00582C13" w14:paraId="6F83A68F" w14:textId="77777777" w:rsidTr="00D2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0A6550" w14:textId="756026C9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MS 95</w:t>
            </w:r>
          </w:p>
        </w:tc>
        <w:tc>
          <w:tcPr>
            <w:tcW w:w="2265" w:type="dxa"/>
          </w:tcPr>
          <w:p w14:paraId="2CDDA9B2" w14:textId="11B9E1F4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5,635406</w:t>
            </w:r>
          </w:p>
        </w:tc>
        <w:tc>
          <w:tcPr>
            <w:tcW w:w="2266" w:type="dxa"/>
          </w:tcPr>
          <w:p w14:paraId="4EC3E043" w14:textId="4F9F5EC5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0,01760127</w:t>
            </w:r>
          </w:p>
        </w:tc>
        <w:tc>
          <w:tcPr>
            <w:tcW w:w="2266" w:type="dxa"/>
          </w:tcPr>
          <w:p w14:paraId="4B7F58EF" w14:textId="7EAB8356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Odrzucono H0</w:t>
            </w:r>
          </w:p>
        </w:tc>
      </w:tr>
    </w:tbl>
    <w:p w14:paraId="6DF2C2F8" w14:textId="152E9816" w:rsidR="00E70AAF" w:rsidRPr="00582C13" w:rsidRDefault="00E70AAF" w:rsidP="00E70AAF">
      <w:pPr>
        <w:rPr>
          <w:rFonts w:cstheme="minorHAnsi"/>
          <w:sz w:val="24"/>
          <w:szCs w:val="24"/>
        </w:rPr>
      </w:pPr>
    </w:p>
    <w:p w14:paraId="1FE69842" w14:textId="57146D24" w:rsidR="00801EAD" w:rsidRPr="00B874F0" w:rsidRDefault="00801EAD" w:rsidP="00801EAD">
      <w:pPr>
        <w:pStyle w:val="Legenda"/>
        <w:keepNext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B874F0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Wyniku testu </w:t>
      </w:r>
      <w:proofErr w:type="spellStart"/>
      <w:r w:rsidRPr="00B874F0">
        <w:rPr>
          <w:rFonts w:cstheme="minorHAnsi"/>
          <w:b/>
          <w:bCs/>
          <w:color w:val="0D0D0D" w:themeColor="text1" w:themeTint="F2"/>
          <w:sz w:val="24"/>
          <w:szCs w:val="24"/>
        </w:rPr>
        <w:t>Christoffersena</w:t>
      </w:r>
      <w:proofErr w:type="spellEnd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264E1" w:rsidRPr="00582C13" w14:paraId="73B73666" w14:textId="77777777" w:rsidTr="00D2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9D7876" w14:textId="586467AC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 xml:space="preserve">Estymowana </w:t>
            </w:r>
            <w:r w:rsidR="003F3940">
              <w:rPr>
                <w:rFonts w:cstheme="minorHAnsi"/>
                <w:sz w:val="24"/>
                <w:szCs w:val="24"/>
              </w:rPr>
              <w:t>m</w:t>
            </w:r>
            <w:r w:rsidRPr="00582C13">
              <w:rPr>
                <w:rFonts w:cstheme="minorHAnsi"/>
                <w:sz w:val="24"/>
                <w:szCs w:val="24"/>
              </w:rPr>
              <w:t>iara</w:t>
            </w:r>
          </w:p>
        </w:tc>
        <w:tc>
          <w:tcPr>
            <w:tcW w:w="2265" w:type="dxa"/>
          </w:tcPr>
          <w:p w14:paraId="7423207B" w14:textId="110C6F54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 xml:space="preserve">Wartość statystyki </w:t>
            </w:r>
          </w:p>
        </w:tc>
        <w:tc>
          <w:tcPr>
            <w:tcW w:w="2266" w:type="dxa"/>
          </w:tcPr>
          <w:p w14:paraId="02A1F1D1" w14:textId="12486829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Wartość p</w:t>
            </w:r>
          </w:p>
        </w:tc>
        <w:tc>
          <w:tcPr>
            <w:tcW w:w="2266" w:type="dxa"/>
          </w:tcPr>
          <w:p w14:paraId="19C69E65" w14:textId="5CBC8016" w:rsidR="00D264E1" w:rsidRPr="00582C13" w:rsidRDefault="00D264E1" w:rsidP="00E70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Decyzja</w:t>
            </w:r>
          </w:p>
        </w:tc>
      </w:tr>
      <w:tr w:rsidR="00D264E1" w:rsidRPr="00582C13" w14:paraId="0A88634D" w14:textId="77777777" w:rsidTr="00D2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AED041" w14:textId="5FD61D4F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2C13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582C13">
              <w:rPr>
                <w:rFonts w:cstheme="minorHAnsi"/>
                <w:sz w:val="24"/>
                <w:szCs w:val="24"/>
              </w:rPr>
              <w:t xml:space="preserve"> 95</w:t>
            </w:r>
          </w:p>
        </w:tc>
        <w:tc>
          <w:tcPr>
            <w:tcW w:w="2265" w:type="dxa"/>
          </w:tcPr>
          <w:p w14:paraId="0B78285B" w14:textId="1437BDFF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4,128755</w:t>
            </w:r>
          </w:p>
        </w:tc>
        <w:tc>
          <w:tcPr>
            <w:tcW w:w="2266" w:type="dxa"/>
          </w:tcPr>
          <w:p w14:paraId="1BB0DD43" w14:textId="3AD5F0F8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0,1268972</w:t>
            </w:r>
          </w:p>
        </w:tc>
        <w:tc>
          <w:tcPr>
            <w:tcW w:w="2266" w:type="dxa"/>
          </w:tcPr>
          <w:p w14:paraId="6B2521A3" w14:textId="465DFC10" w:rsidR="00D264E1" w:rsidRPr="00582C13" w:rsidRDefault="00D264E1" w:rsidP="00E70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Brak podstaw do odrzucenia H0</w:t>
            </w:r>
          </w:p>
        </w:tc>
      </w:tr>
      <w:tr w:rsidR="00D264E1" w:rsidRPr="00582C13" w14:paraId="6D9439F3" w14:textId="77777777" w:rsidTr="00D2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5648D5" w14:textId="11AA4542" w:rsidR="00D264E1" w:rsidRPr="00582C13" w:rsidRDefault="00D264E1" w:rsidP="00E70AAF">
            <w:pPr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MS 95</w:t>
            </w:r>
          </w:p>
        </w:tc>
        <w:tc>
          <w:tcPr>
            <w:tcW w:w="2265" w:type="dxa"/>
          </w:tcPr>
          <w:p w14:paraId="6234CE45" w14:textId="7B77355B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5,711058</w:t>
            </w:r>
          </w:p>
        </w:tc>
        <w:tc>
          <w:tcPr>
            <w:tcW w:w="2266" w:type="dxa"/>
          </w:tcPr>
          <w:p w14:paraId="1EDA246E" w14:textId="3AF29F5A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0,05752539</w:t>
            </w:r>
          </w:p>
        </w:tc>
        <w:tc>
          <w:tcPr>
            <w:tcW w:w="2266" w:type="dxa"/>
          </w:tcPr>
          <w:p w14:paraId="31B45100" w14:textId="69A5D475" w:rsidR="00D264E1" w:rsidRPr="00582C13" w:rsidRDefault="00D264E1" w:rsidP="00E70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2C13">
              <w:rPr>
                <w:rFonts w:cstheme="minorHAnsi"/>
                <w:sz w:val="24"/>
                <w:szCs w:val="24"/>
              </w:rPr>
              <w:t>Brak podstaw do odrzucenia HO</w:t>
            </w:r>
          </w:p>
        </w:tc>
      </w:tr>
    </w:tbl>
    <w:p w14:paraId="3E290F10" w14:textId="48C397C5" w:rsidR="00641647" w:rsidRPr="00582C13" w:rsidRDefault="00641647" w:rsidP="00E70AAF">
      <w:pPr>
        <w:rPr>
          <w:rFonts w:cstheme="minorHAnsi"/>
          <w:sz w:val="24"/>
          <w:szCs w:val="24"/>
        </w:rPr>
      </w:pPr>
    </w:p>
    <w:p w14:paraId="12A2474C" w14:textId="738D6A7F" w:rsidR="00801EAD" w:rsidRPr="00582C13" w:rsidRDefault="00801EAD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Model </w:t>
      </w:r>
      <w:r w:rsidR="00270505" w:rsidRPr="00582C13">
        <w:rPr>
          <w:rFonts w:cstheme="minorHAnsi"/>
          <w:sz w:val="24"/>
          <w:szCs w:val="24"/>
        </w:rPr>
        <w:t>szacujący</w:t>
      </w:r>
      <w:r w:rsidRPr="00582C13">
        <w:rPr>
          <w:rFonts w:cstheme="minorHAnsi"/>
          <w:sz w:val="24"/>
          <w:szCs w:val="24"/>
        </w:rPr>
        <w:t xml:space="preserve"> wartość zagrożoną można uznać za </w:t>
      </w:r>
      <w:r w:rsidR="00270505" w:rsidRPr="00582C13">
        <w:rPr>
          <w:rFonts w:cstheme="minorHAnsi"/>
          <w:sz w:val="24"/>
          <w:szCs w:val="24"/>
        </w:rPr>
        <w:t>w pełni poprawny, natomiast prognozy mediany przekroczeń okazały się być zbyt konserwatywne. Obydwa modele potrafiły dostosowywać się do zmieniając się warunków rynkowych. Szacowanie ryzyka rynkowego w niepewnych czasach jest jak najbardziej możliwe, choć należy pamiętać, że żaden model statystyczny nie uchroni nas przed skutkami czarnych łabędzi, co do których nie posiadamy danych historycznych.</w:t>
      </w:r>
    </w:p>
    <w:p w14:paraId="18BD459E" w14:textId="4BAF74C3" w:rsidR="00E70AAF" w:rsidRPr="00582C13" w:rsidRDefault="00641647" w:rsidP="00582C13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sz w:val="24"/>
          <w:szCs w:val="24"/>
        </w:rPr>
        <w:t xml:space="preserve">Dalszych </w:t>
      </w:r>
      <w:r w:rsidR="008517F2" w:rsidRPr="00582C13">
        <w:rPr>
          <w:rFonts w:cstheme="minorHAnsi"/>
          <w:sz w:val="24"/>
          <w:szCs w:val="24"/>
        </w:rPr>
        <w:t>usprawnień</w:t>
      </w:r>
      <w:r w:rsidRPr="00582C13">
        <w:rPr>
          <w:rFonts w:cstheme="minorHAnsi"/>
          <w:sz w:val="24"/>
          <w:szCs w:val="24"/>
        </w:rPr>
        <w:t xml:space="preserve"> należy szukać dobiera</w:t>
      </w:r>
      <w:r w:rsidR="00B874F0">
        <w:rPr>
          <w:rFonts w:cstheme="minorHAnsi"/>
          <w:sz w:val="24"/>
          <w:szCs w:val="24"/>
        </w:rPr>
        <w:t>jąc</w:t>
      </w:r>
      <w:r w:rsidRPr="00582C13">
        <w:rPr>
          <w:rFonts w:cstheme="minorHAnsi"/>
          <w:sz w:val="24"/>
          <w:szCs w:val="24"/>
        </w:rPr>
        <w:t xml:space="preserve"> odpowiednie </w:t>
      </w:r>
      <w:proofErr w:type="spellStart"/>
      <w:r w:rsidRPr="00582C13">
        <w:rPr>
          <w:rFonts w:cstheme="minorHAnsi"/>
          <w:sz w:val="24"/>
          <w:szCs w:val="24"/>
        </w:rPr>
        <w:t>hiperparametry</w:t>
      </w:r>
      <w:proofErr w:type="spellEnd"/>
      <w:r w:rsidRPr="00582C13">
        <w:rPr>
          <w:rFonts w:cstheme="minorHAnsi"/>
          <w:sz w:val="24"/>
          <w:szCs w:val="24"/>
        </w:rPr>
        <w:t xml:space="preserve"> tj. długość okna i wielkość progu. Interesującym kierunkiem jest także połączenie modeli </w:t>
      </w:r>
      <w:proofErr w:type="spellStart"/>
      <w:r w:rsidRPr="00582C13">
        <w:rPr>
          <w:rFonts w:cstheme="minorHAnsi"/>
          <w:sz w:val="24"/>
          <w:szCs w:val="24"/>
        </w:rPr>
        <w:t>Garch</w:t>
      </w:r>
      <w:proofErr w:type="spellEnd"/>
      <w:r w:rsidRPr="00582C13">
        <w:rPr>
          <w:rFonts w:cstheme="minorHAnsi"/>
          <w:sz w:val="24"/>
          <w:szCs w:val="24"/>
        </w:rPr>
        <w:t xml:space="preserve"> i zmienności stochastycznej, które można znaleźć w pracy Osińskiej i </w:t>
      </w:r>
      <w:proofErr w:type="spellStart"/>
      <w:r w:rsidRPr="00582C13">
        <w:rPr>
          <w:rFonts w:cstheme="minorHAnsi"/>
          <w:sz w:val="24"/>
          <w:szCs w:val="24"/>
        </w:rPr>
        <w:t>Fałdzińskiego</w:t>
      </w:r>
      <w:proofErr w:type="spellEnd"/>
      <w:r w:rsidRPr="00582C13">
        <w:rPr>
          <w:rFonts w:cstheme="minorHAnsi"/>
          <w:sz w:val="24"/>
          <w:szCs w:val="24"/>
        </w:rPr>
        <w:t xml:space="preserve"> (2007)</w:t>
      </w:r>
      <w:r w:rsidR="00582C13">
        <w:rPr>
          <w:rFonts w:cstheme="minorHAnsi"/>
          <w:sz w:val="24"/>
          <w:szCs w:val="24"/>
        </w:rPr>
        <w:t>.</w:t>
      </w:r>
    </w:p>
    <w:p w14:paraId="027C012E" w14:textId="2D86AA68" w:rsidR="00E70AAF" w:rsidRPr="00582C13" w:rsidRDefault="00E70AAF" w:rsidP="00E70AAF">
      <w:pPr>
        <w:pStyle w:val="Nagwek1"/>
        <w:rPr>
          <w:rFonts w:asciiTheme="minorHAnsi" w:hAnsiTheme="minorHAnsi" w:cstheme="minorHAnsi"/>
          <w:lang w:val="en-GB"/>
        </w:rPr>
      </w:pPr>
      <w:proofErr w:type="spellStart"/>
      <w:r w:rsidRPr="00582C13">
        <w:rPr>
          <w:rFonts w:asciiTheme="minorHAnsi" w:hAnsiTheme="minorHAnsi" w:cstheme="minorHAnsi"/>
          <w:lang w:val="en-GB"/>
        </w:rPr>
        <w:t>Bibliografia</w:t>
      </w:r>
      <w:proofErr w:type="spellEnd"/>
    </w:p>
    <w:p w14:paraId="33EE4FEA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Artzner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, P.,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Delbaen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F., Eber, J. M., &amp; Heath, D. (1999). Coherent measures of risk.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Mathematical finance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9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(3), 203-228.</w:t>
      </w:r>
    </w:p>
    <w:p w14:paraId="587CA4AA" w14:textId="77777777" w:rsidR="00441007" w:rsidRPr="00582C13" w:rsidRDefault="00441007" w:rsidP="00441007">
      <w:p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Bałamut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T. (2002). 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Metody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estymacji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 xml:space="preserve"> Value at Risk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.</w:t>
      </w:r>
    </w:p>
    <w:p w14:paraId="40C5F3BC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Balkema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, A. A., &amp; De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Haan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L. (1974). Residual life time at great age.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The Annals of probability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792-804.</w:t>
      </w:r>
    </w:p>
    <w:p w14:paraId="0524554F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582C13">
        <w:rPr>
          <w:rFonts w:cstheme="minorHAnsi"/>
          <w:sz w:val="24"/>
          <w:szCs w:val="24"/>
          <w:lang w:val="en-GB"/>
        </w:rPr>
        <w:t>Christoffersen</w:t>
      </w:r>
      <w:proofErr w:type="spellEnd"/>
      <w:r w:rsidRPr="00582C13">
        <w:rPr>
          <w:rFonts w:cstheme="minorHAnsi"/>
          <w:sz w:val="24"/>
          <w:szCs w:val="24"/>
          <w:lang w:val="en-GB"/>
        </w:rPr>
        <w:t xml:space="preserve">, P. (1998). Evaluating Interval Forecasts. </w:t>
      </w:r>
      <w:r w:rsidRPr="00582C13">
        <w:rPr>
          <w:rFonts w:cstheme="minorHAnsi"/>
          <w:i/>
          <w:iCs/>
          <w:sz w:val="24"/>
          <w:szCs w:val="24"/>
          <w:lang w:val="en-GB"/>
        </w:rPr>
        <w:t>International Economic Review, 39</w:t>
      </w:r>
      <w:r w:rsidRPr="00582C13">
        <w:rPr>
          <w:rFonts w:cstheme="minorHAnsi"/>
          <w:sz w:val="24"/>
          <w:szCs w:val="24"/>
          <w:lang w:val="en-GB"/>
        </w:rPr>
        <w:t>(4), 841-862.</w:t>
      </w:r>
    </w:p>
    <w:p w14:paraId="5DE95B4A" w14:textId="77777777" w:rsidR="00441007" w:rsidRPr="00582C13" w:rsidRDefault="00441007" w:rsidP="00441007">
      <w:pPr>
        <w:jc w:val="both"/>
        <w:rPr>
          <w:rFonts w:cstheme="minorHAnsi"/>
          <w:sz w:val="24"/>
          <w:szCs w:val="24"/>
          <w:lang w:val="en-GB"/>
        </w:rPr>
      </w:pPr>
      <w:r w:rsidRPr="00582C13">
        <w:rPr>
          <w:rFonts w:cstheme="minorHAnsi"/>
          <w:sz w:val="24"/>
          <w:szCs w:val="24"/>
          <w:lang w:val="en-GB"/>
        </w:rPr>
        <w:t xml:space="preserve">Dowd, K. (2005). </w:t>
      </w:r>
      <w:r w:rsidRPr="00582C13">
        <w:rPr>
          <w:rFonts w:cstheme="minorHAnsi"/>
          <w:i/>
          <w:iCs/>
          <w:sz w:val="24"/>
          <w:szCs w:val="24"/>
          <w:lang w:val="en-GB"/>
        </w:rPr>
        <w:t>Measuring market risk</w:t>
      </w:r>
      <w:r w:rsidRPr="00582C13">
        <w:rPr>
          <w:rFonts w:cstheme="minorHAnsi"/>
          <w:sz w:val="24"/>
          <w:szCs w:val="24"/>
          <w:lang w:val="en-GB"/>
        </w:rPr>
        <w:t>. Hoboken: John Wiley &amp; Sons.</w:t>
      </w:r>
    </w:p>
    <w:p w14:paraId="5C600A6F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Kou, S., &amp; Peng, X. (2014). Expected shortfall or median shortfall.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Journal of Financial Engineering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1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(01), 1450007.</w:t>
      </w:r>
    </w:p>
    <w:p w14:paraId="6B7D3B62" w14:textId="77777777" w:rsidR="00441007" w:rsidRPr="00582C13" w:rsidRDefault="00441007" w:rsidP="00441007">
      <w:p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lastRenderedPageBreak/>
        <w:t xml:space="preserve">Kou, S., Peng, X., &amp;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Heyde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C. C. (2013). External risk measures and Basel accords.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Mathematics of Operations Research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38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(3), 393-417.</w:t>
      </w:r>
    </w:p>
    <w:p w14:paraId="3E5C107E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  <w:lang w:val="en-GB"/>
        </w:rPr>
      </w:pPr>
      <w:proofErr w:type="spellStart"/>
      <w:r w:rsidRPr="00582C13">
        <w:rPr>
          <w:rFonts w:cstheme="minorHAnsi"/>
          <w:sz w:val="24"/>
          <w:szCs w:val="24"/>
          <w:lang w:val="en-GB"/>
        </w:rPr>
        <w:t>Kupiec</w:t>
      </w:r>
      <w:proofErr w:type="spellEnd"/>
      <w:r w:rsidRPr="00582C13">
        <w:rPr>
          <w:rFonts w:cstheme="minorHAnsi"/>
          <w:sz w:val="24"/>
          <w:szCs w:val="24"/>
          <w:lang w:val="en-GB"/>
        </w:rPr>
        <w:t xml:space="preserve">, P. (1995). Techniques for verifying the accuracy of risk measurement models, </w:t>
      </w:r>
      <w:r w:rsidRPr="00582C13">
        <w:rPr>
          <w:rFonts w:cstheme="minorHAnsi"/>
          <w:i/>
          <w:iCs/>
          <w:sz w:val="24"/>
          <w:szCs w:val="24"/>
          <w:lang w:val="en-GB"/>
        </w:rPr>
        <w:t>Journal</w:t>
      </w:r>
    </w:p>
    <w:p w14:paraId="6CF18F35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82C13">
        <w:rPr>
          <w:rFonts w:cstheme="minorHAnsi"/>
          <w:sz w:val="24"/>
          <w:szCs w:val="24"/>
        </w:rPr>
        <w:t>Kuziak</w:t>
      </w:r>
      <w:proofErr w:type="spellEnd"/>
      <w:r w:rsidRPr="00582C13">
        <w:rPr>
          <w:rFonts w:cstheme="minorHAnsi"/>
          <w:sz w:val="24"/>
          <w:szCs w:val="24"/>
        </w:rPr>
        <w:t xml:space="preserve">, K. (2003). </w:t>
      </w:r>
      <w:r w:rsidRPr="00582C13">
        <w:rPr>
          <w:rFonts w:cstheme="minorHAnsi"/>
          <w:i/>
          <w:iCs/>
          <w:sz w:val="24"/>
          <w:szCs w:val="24"/>
        </w:rPr>
        <w:t xml:space="preserve">Koncepcja wartości zagrożonej </w:t>
      </w:r>
      <w:proofErr w:type="spellStart"/>
      <w:r w:rsidRPr="00582C13">
        <w:rPr>
          <w:rFonts w:cstheme="minorHAnsi"/>
          <w:i/>
          <w:iCs/>
          <w:sz w:val="24"/>
          <w:szCs w:val="24"/>
        </w:rPr>
        <w:t>VaR</w:t>
      </w:r>
      <w:proofErr w:type="spellEnd"/>
      <w:r w:rsidRPr="00582C13">
        <w:rPr>
          <w:rFonts w:cstheme="minorHAnsi"/>
          <w:i/>
          <w:iCs/>
          <w:sz w:val="24"/>
          <w:szCs w:val="24"/>
        </w:rPr>
        <w:t xml:space="preserve"> (Value </w:t>
      </w:r>
      <w:proofErr w:type="spellStart"/>
      <w:r w:rsidRPr="00582C13">
        <w:rPr>
          <w:rFonts w:cstheme="minorHAnsi"/>
          <w:i/>
          <w:iCs/>
          <w:sz w:val="24"/>
          <w:szCs w:val="24"/>
        </w:rPr>
        <w:t>at</w:t>
      </w:r>
      <w:proofErr w:type="spellEnd"/>
      <w:r w:rsidRPr="00582C1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582C13">
        <w:rPr>
          <w:rFonts w:cstheme="minorHAnsi"/>
          <w:i/>
          <w:iCs/>
          <w:sz w:val="24"/>
          <w:szCs w:val="24"/>
        </w:rPr>
        <w:t>Risk</w:t>
      </w:r>
      <w:proofErr w:type="spellEnd"/>
      <w:r w:rsidRPr="00582C13">
        <w:rPr>
          <w:rFonts w:cstheme="minorHAnsi"/>
          <w:i/>
          <w:iCs/>
          <w:sz w:val="24"/>
          <w:szCs w:val="24"/>
        </w:rPr>
        <w:t>)</w:t>
      </w:r>
      <w:r w:rsidRPr="00582C13">
        <w:rPr>
          <w:rFonts w:cstheme="minorHAnsi"/>
          <w:sz w:val="24"/>
          <w:szCs w:val="24"/>
        </w:rPr>
        <w:t xml:space="preserve">. </w:t>
      </w:r>
      <w:hyperlink r:id="rId8" w:history="1">
        <w:r w:rsidRPr="00582C13">
          <w:rPr>
            <w:rStyle w:val="Hipercze"/>
            <w:rFonts w:cstheme="minorHAnsi"/>
            <w:sz w:val="24"/>
            <w:szCs w:val="24"/>
          </w:rPr>
          <w:t>https://media.statsoft.pl/_old_dnn/downloads/kuziak.pdf</w:t>
        </w:r>
      </w:hyperlink>
    </w:p>
    <w:p w14:paraId="0A0FD181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Lusztyn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 M. (2013). Weryfikacja historyczna modeli wartości zagrożonej – zastosowanie wybranych metod dla rynku polskiego w okresie kryzysu finansowego. 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-GB"/>
        </w:rPr>
        <w:t>Ekonometria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, (42), 117-129.</w:t>
      </w:r>
    </w:p>
    <w:p w14:paraId="1BE4EF0C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McNeil, A. J. (1999). Extreme value theory for risk managers. 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Departement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Mathematik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ETH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Zentrum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12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(5), 217-37.</w:t>
      </w:r>
    </w:p>
    <w:p w14:paraId="38B36724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Mielech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 xml:space="preserve">, P. (2020). Teoria czarnego łabędzia – czym jest czarny łabędź i dlaczego inwestorzy powinni się go obawiać? </w:t>
      </w:r>
      <w:hyperlink r:id="rId9" w:history="1">
        <w:r w:rsidRPr="00582C13">
          <w:rPr>
            <w:rStyle w:val="Hipercze"/>
            <w:rFonts w:cstheme="minorHAnsi"/>
            <w:sz w:val="24"/>
            <w:szCs w:val="24"/>
            <w:shd w:val="clear" w:color="auto" w:fill="FFFFFF"/>
            <w:lang w:val="en-GB"/>
          </w:rPr>
          <w:t>https://www.lynxbroker.pl/edukacja/teoria-czarnego-labedzia/</w:t>
        </w:r>
      </w:hyperlink>
    </w:p>
    <w:p w14:paraId="5588AA5E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GB"/>
        </w:rPr>
      </w:pPr>
      <w:r w:rsidRPr="00582C13">
        <w:rPr>
          <w:rFonts w:cstheme="minorHAnsi"/>
          <w:i/>
          <w:iCs/>
          <w:sz w:val="24"/>
          <w:szCs w:val="24"/>
          <w:lang w:val="en-GB"/>
        </w:rPr>
        <w:t>of Derivatives, 3(</w:t>
      </w:r>
      <w:r w:rsidRPr="00582C13">
        <w:rPr>
          <w:rFonts w:cstheme="minorHAnsi"/>
          <w:sz w:val="24"/>
          <w:szCs w:val="24"/>
          <w:lang w:val="en-GB"/>
        </w:rPr>
        <w:t>2), 173 – 184.</w:t>
      </w:r>
    </w:p>
    <w:p w14:paraId="76FCAD44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 xml:space="preserve">Osińska, M., &amp;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Fałdziński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 M. (2007). Modele GARCH i SV z zastosowaniem teorii wartości ekstremalnych.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Dynamiczne Modele Ekonometryczne, Wydawnictwo Uniwersytetu Mikołaja Kopernika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10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 27-34.</w:t>
      </w:r>
    </w:p>
    <w:p w14:paraId="568FF0BA" w14:textId="77777777" w:rsidR="00441007" w:rsidRPr="00582C13" w:rsidRDefault="00441007" w:rsidP="00441007">
      <w:pPr>
        <w:jc w:val="both"/>
        <w:rPr>
          <w:rFonts w:cstheme="minorHAnsi"/>
          <w:sz w:val="24"/>
          <w:szCs w:val="24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 xml:space="preserve">Siemaszkiewicz, K. (2013). Teoria wartości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ekstremalnych-zastosowanie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 xml:space="preserve"> do sektora surowców energetycznych.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Studia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Oeconomica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Posnaniensia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(10), 107-118.</w:t>
      </w:r>
    </w:p>
    <w:p w14:paraId="6B13067B" w14:textId="77777777" w:rsidR="00441007" w:rsidRPr="00582C13" w:rsidRDefault="00441007" w:rsidP="00441007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Szczerbak, G. (2017). Wykorzystanie modeli GARCH w analizie ryzyka finansowego spółek akcyjnych notowanych na GPW.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Optimum.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Economic</w:t>
      </w:r>
      <w:proofErr w:type="spellEnd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Studies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87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(3), 176-194.</w:t>
      </w:r>
    </w:p>
    <w:p w14:paraId="53EC80A3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Taleb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, N. N. (2014). Czarny łabędź. </w:t>
      </w:r>
      <w:r w:rsidRPr="00582C1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 skutkach nieprzewidywalnych zdarzeń</w:t>
      </w:r>
      <w:r w:rsidRPr="00582C13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30FD30B" w14:textId="77777777" w:rsidR="00441007" w:rsidRPr="00582C13" w:rsidRDefault="00441007" w:rsidP="004410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bookmarkStart w:id="3" w:name="_Hlk73365346"/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Wimmerstedt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, L. (2015). </w:t>
      </w:r>
      <w:bookmarkEnd w:id="3"/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Backtesting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Expected Shortfall: the design and implementation of different </w:t>
      </w:r>
      <w:proofErr w:type="spellStart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backtests</w:t>
      </w:r>
      <w:proofErr w:type="spellEnd"/>
      <w:r w:rsidRPr="00582C13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.</w:t>
      </w:r>
    </w:p>
    <w:sectPr w:rsidR="00441007" w:rsidRPr="0058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8AC"/>
    <w:multiLevelType w:val="hybridMultilevel"/>
    <w:tmpl w:val="0CD0F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5D"/>
    <w:rsid w:val="000354BB"/>
    <w:rsid w:val="00054605"/>
    <w:rsid w:val="00054FAB"/>
    <w:rsid w:val="00086350"/>
    <w:rsid w:val="0012158A"/>
    <w:rsid w:val="001A20B4"/>
    <w:rsid w:val="00216F18"/>
    <w:rsid w:val="00270505"/>
    <w:rsid w:val="002E0FB9"/>
    <w:rsid w:val="003A0693"/>
    <w:rsid w:val="003F3940"/>
    <w:rsid w:val="003F5FEB"/>
    <w:rsid w:val="00423D0D"/>
    <w:rsid w:val="00441007"/>
    <w:rsid w:val="00472263"/>
    <w:rsid w:val="00496C7D"/>
    <w:rsid w:val="004B26BC"/>
    <w:rsid w:val="004B414B"/>
    <w:rsid w:val="00582C13"/>
    <w:rsid w:val="00641647"/>
    <w:rsid w:val="00685675"/>
    <w:rsid w:val="006C5054"/>
    <w:rsid w:val="006E41F5"/>
    <w:rsid w:val="0078098A"/>
    <w:rsid w:val="00800326"/>
    <w:rsid w:val="00801EAD"/>
    <w:rsid w:val="008308A6"/>
    <w:rsid w:val="008517F2"/>
    <w:rsid w:val="00890AD4"/>
    <w:rsid w:val="008D702A"/>
    <w:rsid w:val="00942FD8"/>
    <w:rsid w:val="00946E7C"/>
    <w:rsid w:val="00982873"/>
    <w:rsid w:val="0099005D"/>
    <w:rsid w:val="009C571D"/>
    <w:rsid w:val="00A34783"/>
    <w:rsid w:val="00A40581"/>
    <w:rsid w:val="00AC6EBE"/>
    <w:rsid w:val="00B874F0"/>
    <w:rsid w:val="00BF1E44"/>
    <w:rsid w:val="00C005E2"/>
    <w:rsid w:val="00C42C01"/>
    <w:rsid w:val="00CB2CA5"/>
    <w:rsid w:val="00D264E1"/>
    <w:rsid w:val="00DA1CCB"/>
    <w:rsid w:val="00DA458E"/>
    <w:rsid w:val="00E662ED"/>
    <w:rsid w:val="00E70AAF"/>
    <w:rsid w:val="00F00BDF"/>
    <w:rsid w:val="00F53520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5DC"/>
  <w15:chartTrackingRefBased/>
  <w15:docId w15:val="{47017A4F-3C24-40A3-9580-A5EBD78E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6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6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2E0FB9"/>
    <w:rPr>
      <w:color w:val="808080"/>
    </w:rPr>
  </w:style>
  <w:style w:type="paragraph" w:styleId="Akapitzlist">
    <w:name w:val="List Paragraph"/>
    <w:basedOn w:val="Normalny"/>
    <w:uiPriority w:val="34"/>
    <w:qFormat/>
    <w:rsid w:val="004B26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354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54B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2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D264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801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2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statsoft.pl/_old_dnn/downloads/kuziak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ynxbroker.pl/edukacja/teoria-czarnego-labedzi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1950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Ignasiak</dc:creator>
  <cp:keywords/>
  <dc:description/>
  <cp:lastModifiedBy>Krzysztof Ignasiak</cp:lastModifiedBy>
  <cp:revision>3</cp:revision>
  <cp:lastPrinted>2021-06-02T07:48:00Z</cp:lastPrinted>
  <dcterms:created xsi:type="dcterms:W3CDTF">2021-06-02T07:46:00Z</dcterms:created>
  <dcterms:modified xsi:type="dcterms:W3CDTF">2021-06-02T07:49:00Z</dcterms:modified>
</cp:coreProperties>
</file>