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D1C8B9" w14:textId="77777777" w:rsidR="001D53DB" w:rsidRDefault="00000000">
      <w:pPr>
        <w:spacing w:after="60"/>
      </w:pPr>
      <w:r>
        <w:rPr>
          <w:b/>
          <w:bCs/>
          <w:color w:val="1F4E79"/>
          <w:sz w:val="36"/>
          <w:szCs w:val="36"/>
        </w:rPr>
        <w:t>PRD: Targeting RBC Direct Investing Pain-Points</w:t>
      </w:r>
    </w:p>
    <w:p w14:paraId="390E2218" w14:textId="77777777" w:rsidR="001D53DB" w:rsidRDefault="00000000">
      <w:pPr>
        <w:spacing w:after="60"/>
      </w:pPr>
      <w:r>
        <w:rPr>
          <w:color w:val="5F6B7A"/>
          <w:sz w:val="26"/>
          <w:szCs w:val="26"/>
        </w:rPr>
        <w:t>Unified Accounts, Portfolio Insights &amp; Auto-Invest</w:t>
      </w:r>
    </w:p>
    <w:p w14:paraId="6E3ED818" w14:textId="77777777" w:rsidR="001D53DB" w:rsidRDefault="00000000">
      <w:pPr>
        <w:pBdr>
          <w:bottom w:val="single" w:sz="6" w:space="6" w:color="1F4E79"/>
        </w:pBdr>
        <w:spacing w:after="240"/>
      </w:pPr>
      <w:r>
        <w:rPr>
          <w:color w:val="5F6B7A"/>
          <w:sz w:val="20"/>
          <w:szCs w:val="20"/>
        </w:rPr>
        <w:t>Kelly Kim   |   April 4, 2026</w:t>
      </w:r>
    </w:p>
    <w:p w14:paraId="7BF507B4" w14:textId="77777777" w:rsidR="001D53DB" w:rsidRDefault="00000000">
      <w:pPr>
        <w:pStyle w:val="Heading1"/>
      </w:pPr>
      <w:r>
        <w:t>Target User</w:t>
      </w:r>
    </w:p>
    <w:p w14:paraId="02356F51" w14:textId="77777777" w:rsidR="001D53DB" w:rsidRDefault="00000000">
      <w:pPr>
        <w:spacing w:after="120"/>
      </w:pPr>
      <w:r>
        <w:rPr>
          <w:b/>
          <w:bCs/>
        </w:rPr>
        <w:t xml:space="preserve">Primary user: the mobile-first user. </w:t>
      </w:r>
      <w:r>
        <w:t>RBC DI clients aged roughly 25–40, employed full-time, contributing to their TFSA or RRSP on a regular cadence. They typically hold 5–15 positions weighted toward broad-market ETFs with a small individual-stock satellite. They open the app from mobile almost exclusively and treat investing as a recurring habit, not an active pursuit.</w:t>
      </w:r>
    </w:p>
    <w:p w14:paraId="56FC31B1" w14:textId="77777777" w:rsidR="001D53DB" w:rsidRDefault="00000000">
      <w:pPr>
        <w:spacing w:after="120"/>
      </w:pPr>
      <w:r>
        <w:rPr>
          <w:b/>
          <w:bCs/>
        </w:rPr>
        <w:t xml:space="preserve">The job they’re trying to </w:t>
      </w:r>
      <w:proofErr w:type="gramStart"/>
      <w:r>
        <w:rPr>
          <w:b/>
          <w:bCs/>
        </w:rPr>
        <w:t>do:</w:t>
      </w:r>
      <w:proofErr w:type="gramEnd"/>
      <w:r>
        <w:rPr>
          <w:b/>
          <w:bCs/>
        </w:rPr>
        <w:t xml:space="preserve"> </w:t>
      </w:r>
      <w:r>
        <w:t>build long-term wealth on a consistent cadence with minimal ongoing effort.</w:t>
      </w:r>
    </w:p>
    <w:p w14:paraId="240B4725" w14:textId="77777777" w:rsidR="001D53DB" w:rsidRDefault="00000000">
      <w:pPr>
        <w:spacing w:after="120"/>
      </w:pPr>
      <w:r>
        <w:rPr>
          <w:b/>
          <w:bCs/>
        </w:rPr>
        <w:t xml:space="preserve">What they fire to hire alternatives: </w:t>
      </w:r>
      <w:r>
        <w:t xml:space="preserve">when RBC’s tooling slows them down, they open more user-friendly applications — such as </w:t>
      </w:r>
      <w:proofErr w:type="spellStart"/>
      <w:r>
        <w:t>Wealthsimple</w:t>
      </w:r>
      <w:proofErr w:type="spellEnd"/>
      <w:r>
        <w:t>. Gradually, RBC keeps the deposit relationship and loses the investing one — and over time, often the deposit relationship too.</w:t>
      </w:r>
    </w:p>
    <w:p w14:paraId="5FB519E0" w14:textId="77777777" w:rsidR="001D53DB" w:rsidRDefault="00000000">
      <w:pPr>
        <w:spacing w:after="120"/>
      </w:pPr>
      <w:r>
        <w:rPr>
          <w:b/>
          <w:bCs/>
        </w:rPr>
        <w:t xml:space="preserve">Why this is important to address: </w:t>
      </w:r>
      <w:r>
        <w:t>highest churn risk segment within DI today, and the highest lifetime-value cohort over a 10-year horizon given long compounding tails.</w:t>
      </w:r>
    </w:p>
    <w:p w14:paraId="41AE927F" w14:textId="77777777" w:rsidR="001D53DB" w:rsidRDefault="00000000">
      <w:pPr>
        <w:pStyle w:val="Heading1"/>
      </w:pPr>
      <w:r>
        <w:t>Current State</w:t>
      </w:r>
    </w:p>
    <w:p w14:paraId="6136F018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t>Users can switch between banking and investing profiles, but no single net-worth view exists</w:t>
      </w:r>
    </w:p>
    <w:p w14:paraId="13A5C062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t>Mobile shows a flat holdings list with no allocation chart. The desktop Trading Dashboard has a Portfolio Analyzer (asset-class, sector, regional breakdowns) that should be brought to iOS</w:t>
      </w:r>
    </w:p>
    <w:p w14:paraId="58D22626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t>Supports stocks, options, mutual funds, and ETFs with free real-time streaming quotes</w:t>
      </w:r>
    </w:p>
    <w:p w14:paraId="110E62A3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t>No recurring or automated investments. Every trade requires a manual order</w:t>
      </w:r>
    </w:p>
    <w:p w14:paraId="6FEAD117" w14:textId="77777777" w:rsidR="001D53DB" w:rsidRDefault="00000000">
      <w:pPr>
        <w:pStyle w:val="Heading1"/>
      </w:pPr>
      <w:r>
        <w:t>Problem</w:t>
      </w:r>
    </w:p>
    <w:p w14:paraId="1E64634E" w14:textId="77777777" w:rsidR="001D53DB" w:rsidRDefault="00000000">
      <w:pPr>
        <w:spacing w:after="120"/>
      </w:pPr>
      <w:r>
        <w:rPr>
          <w:i/>
          <w:iCs/>
          <w:color w:val="5F6B7A"/>
        </w:rPr>
        <w:t>These are the three pain points</w:t>
      </w:r>
    </w:p>
    <w:p w14:paraId="0C427C3C" w14:textId="77777777" w:rsidR="001D53D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Moving idle cash to investments takes too many steps. </w:t>
      </w:r>
      <w:r>
        <w:t>When the user’s paycheck lands, he or she would want to push a portion into investments in under a minute. RBC forces them to switch between banking and investing tabs, check balances on two different screens, and do mental math on how much is “extra.” This is a friction point for investing.</w:t>
      </w:r>
    </w:p>
    <w:p w14:paraId="6DA4B58D" w14:textId="77777777" w:rsidR="001D53D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They can’t see allocation drift from mobile. </w:t>
      </w:r>
      <w:r>
        <w:t>When the user wants a quick check before adding to a position, they expect a visual breakdown on their phone. RBC mobile shows a flat holdings list with no chart. The desktop Portfolio Analyzer exists but is effectively invisible to a mobile-first user.</w:t>
      </w:r>
    </w:p>
    <w:p w14:paraId="62D5E56C" w14:textId="77777777" w:rsidR="001D53D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Investing on a schedule requires the user to invest manually for each order. </w:t>
      </w:r>
      <w:r>
        <w:t xml:space="preserve">When the user wants to dollar-cost average — the strategy almost every personal-finance source recommends — they must remember to log in and place each order manually. Inconsistency is the failure mode. </w:t>
      </w:r>
      <w:proofErr w:type="spellStart"/>
      <w:r>
        <w:t>WealthSimple</w:t>
      </w:r>
      <w:proofErr w:type="spellEnd"/>
      <w:r>
        <w:t xml:space="preserve"> or Questrade eliminates this with auto-invest into any security on a schedule. RBC requires the user to do the work each time.</w:t>
      </w:r>
    </w:p>
    <w:p w14:paraId="42CF3C2C" w14:textId="77777777" w:rsidR="001D53DB" w:rsidRDefault="00000000">
      <w:pPr>
        <w:pStyle w:val="Heading1"/>
      </w:pPr>
      <w:r>
        <w:lastRenderedPageBreak/>
        <w:t>Evidence</w:t>
      </w:r>
    </w:p>
    <w:p w14:paraId="732274B6" w14:textId="0BC9ADC9" w:rsidR="001D53DB" w:rsidRDefault="00000000">
      <w:pPr>
        <w:pStyle w:val="Heading2"/>
      </w:pPr>
      <w:r>
        <w:t>Market</w:t>
      </w:r>
      <w:r w:rsidR="007F715A">
        <w:t xml:space="preserve"> </w:t>
      </w:r>
      <w:r>
        <w:t>— external</w:t>
      </w:r>
    </w:p>
    <w:p w14:paraId="308E55FB" w14:textId="48731AB0" w:rsidR="001D53D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Wealthsimple</w:t>
      </w:r>
      <w:proofErr w:type="spellEnd"/>
      <w:r>
        <w:t xml:space="preserve"> offers </w:t>
      </w:r>
      <w:r>
        <w:rPr>
          <w:b/>
          <w:bCs/>
        </w:rPr>
        <w:t>recurring auto-buys for any stock or ETF</w:t>
      </w:r>
      <w:r>
        <w:t xml:space="preserve"> on weekly, bi-weekly, or monthly schedules — the exact gap RBC DI has today. </w:t>
      </w:r>
    </w:p>
    <w:p w14:paraId="5F855639" w14:textId="32690D25" w:rsidR="001D53DB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 the iOS App Store Canada Finance category, </w:t>
      </w:r>
      <w:proofErr w:type="spellStart"/>
      <w:r>
        <w:rPr>
          <w:b/>
          <w:bCs/>
        </w:rPr>
        <w:t>Wealthsimple</w:t>
      </w:r>
      <w:proofErr w:type="spellEnd"/>
      <w:r>
        <w:rPr>
          <w:b/>
          <w:bCs/>
        </w:rPr>
        <w:t xml:space="preserve"> ranks #1; RBC Mobile ranks #4</w:t>
      </w:r>
      <w:r>
        <w:t xml:space="preserve">. On Google Play, </w:t>
      </w:r>
      <w:proofErr w:type="spellStart"/>
      <w:r>
        <w:t>Wealthsimple</w:t>
      </w:r>
      <w:proofErr w:type="spellEnd"/>
      <w:r>
        <w:t xml:space="preserve"> Invest carries a 4.4-star rating versus RBC Mobile’s 2.2 stars</w:t>
      </w:r>
      <w:r w:rsidR="00592A6D">
        <w:t>.</w:t>
      </w:r>
    </w:p>
    <w:p w14:paraId="1949B2F5" w14:textId="052D3579" w:rsidR="001D53DB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Statistics Canada’s Survey of Financial Security 2023 (released Oct 29, 2024) shows the </w:t>
      </w:r>
      <w:r>
        <w:rPr>
          <w:b/>
          <w:bCs/>
        </w:rPr>
        <w:t>under-35 cohort had the largest gain in real median net worth of any age group</w:t>
      </w:r>
      <w:r>
        <w:t xml:space="preserve"> from 2019 to 2023, up 179% to $159,100. The cohort has accumulating capital that’s actively being deployed into self-directed brokerage accounts — the question is whose</w:t>
      </w:r>
      <w:r w:rsidR="00592A6D">
        <w:t>.</w:t>
      </w:r>
    </w:p>
    <w:p w14:paraId="3B632A36" w14:textId="2C1D9015" w:rsidR="001D53DB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</w:t>
      </w:r>
      <w:proofErr w:type="spellStart"/>
      <w:r>
        <w:t>Wealthsimple</w:t>
      </w:r>
      <w:proofErr w:type="spellEnd"/>
      <w:r>
        <w:t xml:space="preserve">-commissioned study of 1,000 Canadian clients aged 25–45 with $50K+ in investable assets reports </w:t>
      </w:r>
      <w:r>
        <w:rPr>
          <w:b/>
          <w:bCs/>
        </w:rPr>
        <w:t>92% feel confident managing their own investments</w:t>
      </w:r>
      <w:r>
        <w:t xml:space="preserve"> and 69% report above-average risk tolerance — the demographic profile most likely to move their investing relationship away from a bank brokerage</w:t>
      </w:r>
      <w:r w:rsidR="00592A6D">
        <w:t>.</w:t>
      </w:r>
    </w:p>
    <w:p w14:paraId="374764BE" w14:textId="77777777" w:rsidR="001D53DB" w:rsidRDefault="00000000">
      <w:pPr>
        <w:pStyle w:val="Heading2"/>
      </w:pPr>
      <w:r>
        <w:t>User research — qualitative, structured</w:t>
      </w:r>
    </w:p>
    <w:p w14:paraId="48F094CE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t>10–15 in-depth interviews with mobile-first DI clients in the 25–40 segment, sampled to include both retained clients and those who reduced activity in the past 6 months. Focus on contribution and rebalance journeys.</w:t>
      </w:r>
    </w:p>
    <w:p w14:paraId="50897D20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t>Targeted survey to DI clients with declining trade volume, asking where their contributions are going and why.</w:t>
      </w:r>
    </w:p>
    <w:p w14:paraId="459209BE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t>Mobile usability study on the current contribution flow to baseline time-to-completion before any changes ship.</w:t>
      </w:r>
    </w:p>
    <w:p w14:paraId="44A4B432" w14:textId="77777777" w:rsidR="001D53DB" w:rsidRDefault="00000000">
      <w:pPr>
        <w:pStyle w:val="Heading1"/>
      </w:pPr>
      <w:r>
        <w:t>Proposed Solution</w:t>
      </w:r>
    </w:p>
    <w:p w14:paraId="7DA1BF26" w14:textId="02CD176B" w:rsidR="001D53DB" w:rsidRDefault="00000000">
      <w:pPr>
        <w:pBdr>
          <w:left w:val="single" w:sz="18" w:space="8" w:color="1F4E79"/>
        </w:pBdr>
        <w:shd w:val="clear" w:color="auto" w:fill="EAF1F8"/>
        <w:spacing w:before="60" w:after="180"/>
        <w:ind w:left="200" w:right="200"/>
      </w:pPr>
      <w:r>
        <w:rPr>
          <w:i/>
          <w:iCs/>
          <w:color w:val="5F6B7A"/>
        </w:rPr>
        <w:t>Recommended sequencing: Portfolio Allocation first (lowest effort, leverages existing quote data), then Unified Dashboard (data access exists, mainly a UI build), then Auto-Invest last (requires new backend + compliance review).</w:t>
      </w:r>
    </w:p>
    <w:p w14:paraId="412EFE9B" w14:textId="77777777" w:rsidR="001D53DB" w:rsidRDefault="00000000">
      <w:pPr>
        <w:spacing w:before="160" w:after="60"/>
      </w:pPr>
      <w:r>
        <w:rPr>
          <w:b/>
          <w:bCs/>
          <w:sz w:val="24"/>
          <w:szCs w:val="24"/>
        </w:rPr>
        <w:t>1. Portfolio Allocation Breakdown</w:t>
      </w:r>
    </w:p>
    <w:p w14:paraId="308ED823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t>Pie chart showing % allocation by holding, inspired by Bloom’s approach</w:t>
      </w:r>
    </w:p>
    <w:p w14:paraId="73068802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t>Tap any slice for details: book cost, gain/loss, recent price movement</w:t>
      </w:r>
    </w:p>
    <w:p w14:paraId="5C9CB800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t>Secondary grouping by asset class or sector for a higher-level view</w:t>
      </w:r>
    </w:p>
    <w:p w14:paraId="034BBAD6" w14:textId="77777777" w:rsidR="001D53DB" w:rsidRDefault="00000000">
      <w:pPr>
        <w:spacing w:before="160" w:after="60"/>
      </w:pPr>
      <w:r>
        <w:rPr>
          <w:b/>
          <w:bCs/>
          <w:sz w:val="24"/>
          <w:szCs w:val="24"/>
        </w:rPr>
        <w:t>2. Unified Account Dashboard</w:t>
      </w:r>
    </w:p>
    <w:p w14:paraId="61F98C90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t>Single screen showing total net worth across all RBC accounts (chequing, savings, TFSA, RRSP, margin, etc.)</w:t>
      </w:r>
    </w:p>
    <w:p w14:paraId="3D925C20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t>Tap any account for details or to initiate a transfer</w:t>
      </w:r>
    </w:p>
    <w:p w14:paraId="32E510CA" w14:textId="3C1B5610" w:rsidR="001D53DB" w:rsidRDefault="00592A6D">
      <w:pPr>
        <w:pStyle w:val="ListParagraph"/>
        <w:numPr>
          <w:ilvl w:val="0"/>
          <w:numId w:val="2"/>
        </w:numPr>
        <w:spacing w:after="80"/>
      </w:pPr>
      <w:r>
        <w:t>Front-end restructuring</w:t>
      </w:r>
      <w:r w:rsidR="00000000">
        <w:t>. The app already has both banking and investing data</w:t>
      </w:r>
    </w:p>
    <w:p w14:paraId="18C1F512" w14:textId="77777777" w:rsidR="001D53DB" w:rsidRDefault="00000000">
      <w:pPr>
        <w:spacing w:before="160" w:after="60"/>
      </w:pPr>
      <w:r>
        <w:rPr>
          <w:b/>
          <w:bCs/>
          <w:sz w:val="24"/>
          <w:szCs w:val="24"/>
        </w:rPr>
        <w:t>3. Auto-Invest</w:t>
      </w:r>
    </w:p>
    <w:p w14:paraId="25B1B91A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t>Recurring buy orders for any stock or ETF, across all DI account types</w:t>
      </w:r>
    </w:p>
    <w:p w14:paraId="2E16DF88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Users set frequency (weekly/monthly), dollar amount, and funding account</w:t>
      </w:r>
    </w:p>
    <w:p w14:paraId="3E8A2A04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t>Orders execute during market hours. Pause, modify, or cancel anytime</w:t>
      </w:r>
    </w:p>
    <w:p w14:paraId="557AAB7A" w14:textId="77777777" w:rsidR="001D53DB" w:rsidRDefault="00000000">
      <w:pPr>
        <w:pStyle w:val="Heading1"/>
        <w:spacing w:before="280"/>
      </w:pPr>
      <w:r>
        <w:t>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1500"/>
        <w:gridCol w:w="3000"/>
      </w:tblGrid>
      <w:tr w:rsidR="001D53DB" w14:paraId="3B0548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140DC" w14:textId="77777777" w:rsidR="001D53DB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21415" w14:textId="77777777" w:rsidR="001D53DB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95381" w14:textId="77777777" w:rsidR="001D53DB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1D53DB" w14:paraId="5DB77913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EA2B2" w14:textId="77777777" w:rsidR="001D53DB" w:rsidRDefault="00000000">
            <w:r>
              <w:t>Building scheduled order execution from scratch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45856" w14:textId="77777777" w:rsidR="001D53DB" w:rsidRDefault="00000000">
            <w:r>
              <w:t>High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DB4A1" w14:textId="77777777" w:rsidR="001D53DB" w:rsidRDefault="00000000">
            <w:r>
              <w:t>Start with an ETFs-only beta to limit complexity</w:t>
            </w:r>
          </w:p>
        </w:tc>
      </w:tr>
      <w:tr w:rsidR="001D53DB" w14:paraId="7CC87401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CC004" w14:textId="77777777" w:rsidR="001D53DB" w:rsidRDefault="00000000">
            <w:r>
              <w:t>Market orders during volatile periods could mean poor fills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F4BCC" w14:textId="77777777" w:rsidR="001D53DB" w:rsidRDefault="00000000">
            <w:r>
              <w:t>Med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B8BA1" w14:textId="77777777" w:rsidR="001D53DB" w:rsidRDefault="00000000">
            <w:r>
              <w:t>Add disclaimers during setup; explore limit orders for V2</w:t>
            </w:r>
          </w:p>
        </w:tc>
      </w:tr>
      <w:tr w:rsidR="001D53DB" w14:paraId="74FAD6F7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7465F" w14:textId="77777777" w:rsidR="001D53DB" w:rsidRDefault="00000000">
            <w:r>
              <w:t>Regulatory review could delay the auto-invest launch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375AA" w14:textId="77777777" w:rsidR="001D53DB" w:rsidRDefault="00000000">
            <w:r>
              <w:t>Med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5DBB6" w14:textId="77777777" w:rsidR="001D53DB" w:rsidRDefault="00000000">
            <w:r>
              <w:t>Bring compliance in during sprint 1</w:t>
            </w:r>
          </w:p>
        </w:tc>
      </w:tr>
      <w:tr w:rsidR="001D53DB" w14:paraId="1395B0DC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5B9B1" w14:textId="77777777" w:rsidR="001D53DB" w:rsidRDefault="00000000">
            <w:r>
              <w:t>Pie chart gets cluttered with 15+ holdings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18DCD" w14:textId="77777777" w:rsidR="001D53DB" w:rsidRDefault="00000000">
            <w:r>
              <w:t>Med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9A46C" w14:textId="77777777" w:rsidR="001D53DB" w:rsidRDefault="00000000">
            <w:r>
              <w:t>Group positions under 3% into an “Other” slice</w:t>
            </w:r>
          </w:p>
        </w:tc>
      </w:tr>
    </w:tbl>
    <w:p w14:paraId="70AE9181" w14:textId="77777777" w:rsidR="001D53DB" w:rsidRDefault="00000000">
      <w:pPr>
        <w:pStyle w:val="Heading1"/>
        <w:spacing w:before="280"/>
      </w:pPr>
      <w:r>
        <w:t>Dependencies</w:t>
      </w:r>
    </w:p>
    <w:p w14:paraId="7410FACB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Banking data access</w:t>
      </w:r>
      <w:r>
        <w:t xml:space="preserve"> — already exists. The app has it today</w:t>
      </w:r>
    </w:p>
    <w:p w14:paraId="4A724464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Market data</w:t>
      </w:r>
      <w:r>
        <w:t xml:space="preserve"> — real-time streaming quotes are already free for all DI clients</w:t>
      </w:r>
    </w:p>
    <w:p w14:paraId="1CB699E8" w14:textId="77777777" w:rsidR="001D53D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Scheduled order execution</w:t>
      </w:r>
      <w:r>
        <w:t xml:space="preserve"> — this is the main build. Doesn’t exist yet</w:t>
      </w:r>
    </w:p>
    <w:p w14:paraId="243B0A23" w14:textId="4822A21C" w:rsidR="001D53D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Compliance review</w:t>
      </w:r>
      <w:r>
        <w:t xml:space="preserve"> — </w:t>
      </w:r>
      <w:r w:rsidR="00592A6D">
        <w:t>why is there different tab for personal banking and direct investing? There would be a reason here</w:t>
      </w:r>
    </w:p>
    <w:p w14:paraId="0800A4AE" w14:textId="77777777" w:rsidR="001D53DB" w:rsidRDefault="00000000">
      <w:pPr>
        <w:spacing w:after="120"/>
      </w:pPr>
      <w:r>
        <w:t>The critical path is the auto-invest backend and compliance review. The other two features can move independently.</w:t>
      </w:r>
    </w:p>
    <w:p w14:paraId="1BBA5106" w14:textId="77777777" w:rsidR="001D53DB" w:rsidRDefault="00000000">
      <w:pPr>
        <w:pStyle w:val="Heading1"/>
        <w:spacing w:before="200"/>
      </w:pPr>
      <w:r>
        <w:t>Success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3460"/>
        <w:gridCol w:w="1500"/>
      </w:tblGrid>
      <w:tr w:rsidR="001D53DB" w14:paraId="3B937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3144B" w14:textId="77777777" w:rsidR="001D53DB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E552B" w14:textId="77777777" w:rsidR="001D53DB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616E1" w14:textId="77777777" w:rsidR="001D53DB" w:rsidRDefault="00000000">
            <w:r>
              <w:rPr>
                <w:b/>
                <w:bCs/>
                <w:color w:val="FFFFFF"/>
              </w:rPr>
              <w:t>Reasoning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8A1CA" w14:textId="77777777" w:rsidR="001D53DB" w:rsidRDefault="00000000">
            <w:r>
              <w:rPr>
                <w:b/>
                <w:bCs/>
                <w:color w:val="FFFFFF"/>
              </w:rPr>
              <w:t>Timeframe</w:t>
            </w:r>
          </w:p>
        </w:tc>
      </w:tr>
      <w:tr w:rsidR="001D53DB" w14:paraId="07C7B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00F83" w14:textId="77777777" w:rsidR="001D53DB" w:rsidRDefault="00000000">
            <w:r>
              <w:t>Auto-invest enrollment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FCAC3" w14:textId="77777777" w:rsidR="001D53DB" w:rsidRDefault="00000000">
            <w:r>
              <w:t>15-20% of eligible users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28132" w14:textId="77777777" w:rsidR="001D53DB" w:rsidRDefault="00000000">
            <w:r>
              <w:t xml:space="preserve">Benchmarked against </w:t>
            </w:r>
            <w:proofErr w:type="spellStart"/>
            <w:r>
              <w:t>Wealthsimple’s</w:t>
            </w:r>
            <w:proofErr w:type="spellEnd"/>
            <w:r>
              <w:t xml:space="preserve"> early adoption rates in Canada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31349" w14:textId="77777777" w:rsidR="001D53DB" w:rsidRDefault="00000000">
            <w:r>
              <w:t>3 months</w:t>
            </w:r>
          </w:p>
        </w:tc>
      </w:tr>
      <w:tr w:rsidR="001D53DB" w14:paraId="31FF3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3C4DD" w14:textId="77777777" w:rsidR="001D53DB" w:rsidRDefault="00000000">
            <w:r>
              <w:t>Monthly active investors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41160" w14:textId="77777777" w:rsidR="001D53DB" w:rsidRDefault="00000000">
            <w:r>
              <w:t>+10%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B6777" w14:textId="77777777" w:rsidR="001D53DB" w:rsidRDefault="00000000">
            <w:r>
              <w:t>Auto-invest should reduce friction for repeat trades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D2708" w14:textId="77777777" w:rsidR="001D53DB" w:rsidRDefault="00000000">
            <w:r>
              <w:t>6 months</w:t>
            </w:r>
          </w:p>
        </w:tc>
      </w:tr>
      <w:tr w:rsidR="001D53DB" w14:paraId="0829E6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0DE2B" w14:textId="77777777" w:rsidR="001D53DB" w:rsidRDefault="00000000">
            <w:r>
              <w:t>Portfolio breakdown taps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7E0E6" w14:textId="77777777" w:rsidR="001D53DB" w:rsidRDefault="00000000">
            <w:r>
              <w:t>&gt;1 per session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BCA1E" w14:textId="77777777" w:rsidR="001D53DB" w:rsidRDefault="00000000">
            <w:r>
              <w:t>If users tap in regularly, the feature is part of their workflow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5D6B0" w14:textId="77777777" w:rsidR="001D53DB" w:rsidRDefault="00000000">
            <w:r>
              <w:t>3 months</w:t>
            </w:r>
          </w:p>
        </w:tc>
      </w:tr>
    </w:tbl>
    <w:p w14:paraId="45B9B174" w14:textId="77777777" w:rsidR="00592A6D" w:rsidRDefault="00592A6D">
      <w:pPr>
        <w:pStyle w:val="Heading1"/>
        <w:spacing w:before="280"/>
      </w:pPr>
    </w:p>
    <w:p w14:paraId="4A6CFD7C" w14:textId="62E9FDC7" w:rsidR="001D53DB" w:rsidRDefault="00000000">
      <w:pPr>
        <w:pStyle w:val="Heading1"/>
        <w:spacing w:before="280"/>
      </w:pPr>
      <w:r>
        <w:lastRenderedPageBreak/>
        <w:t>Open Questions</w:t>
      </w:r>
    </w:p>
    <w:p w14:paraId="524564EC" w14:textId="77777777" w:rsidR="001D53DB" w:rsidRDefault="00000000">
      <w:pPr>
        <w:pStyle w:val="ListParagraph"/>
        <w:numPr>
          <w:ilvl w:val="0"/>
          <w:numId w:val="4"/>
        </w:numPr>
        <w:spacing w:after="100"/>
      </w:pPr>
      <w:r>
        <w:t xml:space="preserve">Is a combined net-worth view </w:t>
      </w:r>
      <w:proofErr w:type="gramStart"/>
      <w:r>
        <w:t>actually valuable</w:t>
      </w:r>
      <w:proofErr w:type="gramEnd"/>
      <w:r>
        <w:t xml:space="preserve"> to the user, or is the existing tab-switching good enough? </w:t>
      </w:r>
      <w:r>
        <w:rPr>
          <w:i/>
          <w:iCs/>
        </w:rPr>
        <w:t>Plan: 5-8 user interviews with a prototype</w:t>
      </w:r>
    </w:p>
    <w:p w14:paraId="4B3D9AA2" w14:textId="77777777" w:rsidR="001D53DB" w:rsidRDefault="00000000">
      <w:pPr>
        <w:pStyle w:val="ListParagraph"/>
        <w:numPr>
          <w:ilvl w:val="0"/>
          <w:numId w:val="4"/>
        </w:numPr>
        <w:spacing w:after="100"/>
      </w:pPr>
      <w:r>
        <w:t xml:space="preserve">Should auto-invest launch for all securities or start with ETFs only? </w:t>
      </w:r>
      <w:r>
        <w:rPr>
          <w:i/>
          <w:iCs/>
        </w:rPr>
        <w:t>Plan: survey existing DI users on what they’d want to automate</w:t>
      </w:r>
    </w:p>
    <w:p w14:paraId="15621E15" w14:textId="77777777" w:rsidR="001D53DB" w:rsidRDefault="00000000">
      <w:pPr>
        <w:pStyle w:val="ListParagraph"/>
        <w:numPr>
          <w:ilvl w:val="0"/>
          <w:numId w:val="4"/>
        </w:numPr>
        <w:spacing w:after="100"/>
      </w:pPr>
      <w:r>
        <w:t xml:space="preserve">Do users prefer a visual pie chart, or would something closer to the desktop Portfolio Analyzer format work better on mobile? </w:t>
      </w:r>
      <w:r>
        <w:rPr>
          <w:i/>
          <w:iCs/>
        </w:rPr>
        <w:t>Plan: A/B prototype test</w:t>
      </w:r>
    </w:p>
    <w:p w14:paraId="7028CE50" w14:textId="77777777" w:rsidR="001D53DB" w:rsidRDefault="00000000">
      <w:pPr>
        <w:pStyle w:val="ListParagraph"/>
        <w:numPr>
          <w:ilvl w:val="0"/>
          <w:numId w:val="4"/>
        </w:numPr>
        <w:spacing w:after="100"/>
      </w:pPr>
      <w:r>
        <w:t xml:space="preserve">Are we right that the mobile-first user is the highest-leverage user, or is the older consolidator a comparable opportunity? </w:t>
      </w:r>
      <w:r>
        <w:rPr>
          <w:i/>
          <w:iCs/>
        </w:rPr>
        <w:t>Plan: cohort sizing + LTV modelling before scoping V2</w:t>
      </w:r>
    </w:p>
    <w:sectPr w:rsidR="001D53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377FE"/>
    <w:multiLevelType w:val="hybridMultilevel"/>
    <w:tmpl w:val="2BDAC58A"/>
    <w:lvl w:ilvl="0" w:tplc="EB6E940C">
      <w:start w:val="1"/>
      <w:numFmt w:val="bullet"/>
      <w:lvlText w:val="●"/>
      <w:lvlJc w:val="left"/>
      <w:pPr>
        <w:ind w:left="720" w:hanging="360"/>
      </w:pPr>
    </w:lvl>
    <w:lvl w:ilvl="1" w:tplc="0FF6CD36">
      <w:start w:val="1"/>
      <w:numFmt w:val="bullet"/>
      <w:lvlText w:val="○"/>
      <w:lvlJc w:val="left"/>
      <w:pPr>
        <w:ind w:left="1440" w:hanging="360"/>
      </w:pPr>
    </w:lvl>
    <w:lvl w:ilvl="2" w:tplc="2EDC0AF6">
      <w:start w:val="1"/>
      <w:numFmt w:val="bullet"/>
      <w:lvlText w:val="■"/>
      <w:lvlJc w:val="left"/>
      <w:pPr>
        <w:ind w:left="2160" w:hanging="360"/>
      </w:pPr>
    </w:lvl>
    <w:lvl w:ilvl="3" w:tplc="D9786BC0">
      <w:start w:val="1"/>
      <w:numFmt w:val="bullet"/>
      <w:lvlText w:val="●"/>
      <w:lvlJc w:val="left"/>
      <w:pPr>
        <w:ind w:left="2880" w:hanging="360"/>
      </w:pPr>
    </w:lvl>
    <w:lvl w:ilvl="4" w:tplc="23F857E8">
      <w:start w:val="1"/>
      <w:numFmt w:val="bullet"/>
      <w:lvlText w:val="○"/>
      <w:lvlJc w:val="left"/>
      <w:pPr>
        <w:ind w:left="3600" w:hanging="360"/>
      </w:pPr>
    </w:lvl>
    <w:lvl w:ilvl="5" w:tplc="FA680150">
      <w:start w:val="1"/>
      <w:numFmt w:val="bullet"/>
      <w:lvlText w:val="■"/>
      <w:lvlJc w:val="left"/>
      <w:pPr>
        <w:ind w:left="4320" w:hanging="360"/>
      </w:pPr>
    </w:lvl>
    <w:lvl w:ilvl="6" w:tplc="9284505C">
      <w:start w:val="1"/>
      <w:numFmt w:val="bullet"/>
      <w:lvlText w:val="●"/>
      <w:lvlJc w:val="left"/>
      <w:pPr>
        <w:ind w:left="5040" w:hanging="360"/>
      </w:pPr>
    </w:lvl>
    <w:lvl w:ilvl="7" w:tplc="461E806C">
      <w:start w:val="1"/>
      <w:numFmt w:val="bullet"/>
      <w:lvlText w:val="●"/>
      <w:lvlJc w:val="left"/>
      <w:pPr>
        <w:ind w:left="5760" w:hanging="360"/>
      </w:pPr>
    </w:lvl>
    <w:lvl w:ilvl="8" w:tplc="3C18F7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785051"/>
    <w:multiLevelType w:val="hybridMultilevel"/>
    <w:tmpl w:val="DD80F10A"/>
    <w:lvl w:ilvl="0" w:tplc="CC9E836E">
      <w:start w:val="1"/>
      <w:numFmt w:val="bullet"/>
      <w:lvlText w:val="—"/>
      <w:lvlJc w:val="left"/>
      <w:pPr>
        <w:ind w:left="540" w:hanging="300"/>
      </w:pPr>
    </w:lvl>
    <w:lvl w:ilvl="1" w:tplc="99EA2202">
      <w:numFmt w:val="decimal"/>
      <w:lvlText w:val=""/>
      <w:lvlJc w:val="left"/>
    </w:lvl>
    <w:lvl w:ilvl="2" w:tplc="F6E66F18">
      <w:numFmt w:val="decimal"/>
      <w:lvlText w:val=""/>
      <w:lvlJc w:val="left"/>
    </w:lvl>
    <w:lvl w:ilvl="3" w:tplc="768E9458">
      <w:numFmt w:val="decimal"/>
      <w:lvlText w:val=""/>
      <w:lvlJc w:val="left"/>
    </w:lvl>
    <w:lvl w:ilvl="4" w:tplc="8598AF0C">
      <w:numFmt w:val="decimal"/>
      <w:lvlText w:val=""/>
      <w:lvlJc w:val="left"/>
    </w:lvl>
    <w:lvl w:ilvl="5" w:tplc="EDD0EA12">
      <w:numFmt w:val="decimal"/>
      <w:lvlText w:val=""/>
      <w:lvlJc w:val="left"/>
    </w:lvl>
    <w:lvl w:ilvl="6" w:tplc="50566368">
      <w:numFmt w:val="decimal"/>
      <w:lvlText w:val=""/>
      <w:lvlJc w:val="left"/>
    </w:lvl>
    <w:lvl w:ilvl="7" w:tplc="24C4D48C">
      <w:numFmt w:val="decimal"/>
      <w:lvlText w:val=""/>
      <w:lvlJc w:val="left"/>
    </w:lvl>
    <w:lvl w:ilvl="8" w:tplc="833048E0">
      <w:numFmt w:val="decimal"/>
      <w:lvlText w:val=""/>
      <w:lvlJc w:val="left"/>
    </w:lvl>
  </w:abstractNum>
  <w:abstractNum w:abstractNumId="2" w15:restartNumberingAfterBreak="0">
    <w:nsid w:val="21252F22"/>
    <w:multiLevelType w:val="hybridMultilevel"/>
    <w:tmpl w:val="EE62CB10"/>
    <w:lvl w:ilvl="0" w:tplc="D1EA753C">
      <w:start w:val="1"/>
      <w:numFmt w:val="decimal"/>
      <w:lvlText w:val="%1."/>
      <w:lvlJc w:val="left"/>
      <w:pPr>
        <w:ind w:left="540" w:hanging="300"/>
      </w:pPr>
    </w:lvl>
    <w:lvl w:ilvl="1" w:tplc="DE1A1AD8">
      <w:numFmt w:val="decimal"/>
      <w:lvlText w:val=""/>
      <w:lvlJc w:val="left"/>
    </w:lvl>
    <w:lvl w:ilvl="2" w:tplc="1648120C">
      <w:numFmt w:val="decimal"/>
      <w:lvlText w:val=""/>
      <w:lvlJc w:val="left"/>
    </w:lvl>
    <w:lvl w:ilvl="3" w:tplc="AE4C0B96">
      <w:numFmt w:val="decimal"/>
      <w:lvlText w:val=""/>
      <w:lvlJc w:val="left"/>
    </w:lvl>
    <w:lvl w:ilvl="4" w:tplc="FAC8753C">
      <w:numFmt w:val="decimal"/>
      <w:lvlText w:val=""/>
      <w:lvlJc w:val="left"/>
    </w:lvl>
    <w:lvl w:ilvl="5" w:tplc="EF7ADBF4">
      <w:numFmt w:val="decimal"/>
      <w:lvlText w:val=""/>
      <w:lvlJc w:val="left"/>
    </w:lvl>
    <w:lvl w:ilvl="6" w:tplc="C78E0842">
      <w:numFmt w:val="decimal"/>
      <w:lvlText w:val=""/>
      <w:lvlJc w:val="left"/>
    </w:lvl>
    <w:lvl w:ilvl="7" w:tplc="0C4E78D0">
      <w:numFmt w:val="decimal"/>
      <w:lvlText w:val=""/>
      <w:lvlJc w:val="left"/>
    </w:lvl>
    <w:lvl w:ilvl="8" w:tplc="67E2B55C">
      <w:numFmt w:val="decimal"/>
      <w:lvlText w:val=""/>
      <w:lvlJc w:val="left"/>
    </w:lvl>
  </w:abstractNum>
  <w:abstractNum w:abstractNumId="3" w15:restartNumberingAfterBreak="0">
    <w:nsid w:val="453F55C0"/>
    <w:multiLevelType w:val="hybridMultilevel"/>
    <w:tmpl w:val="E33291CA"/>
    <w:lvl w:ilvl="0" w:tplc="94180282">
      <w:start w:val="1"/>
      <w:numFmt w:val="decimal"/>
      <w:lvlText w:val="%1."/>
      <w:lvlJc w:val="left"/>
      <w:pPr>
        <w:ind w:left="540" w:hanging="300"/>
      </w:pPr>
    </w:lvl>
    <w:lvl w:ilvl="1" w:tplc="7DCECA1E">
      <w:numFmt w:val="decimal"/>
      <w:lvlText w:val=""/>
      <w:lvlJc w:val="left"/>
    </w:lvl>
    <w:lvl w:ilvl="2" w:tplc="97202724">
      <w:numFmt w:val="decimal"/>
      <w:lvlText w:val=""/>
      <w:lvlJc w:val="left"/>
    </w:lvl>
    <w:lvl w:ilvl="3" w:tplc="122EBBA8">
      <w:numFmt w:val="decimal"/>
      <w:lvlText w:val=""/>
      <w:lvlJc w:val="left"/>
    </w:lvl>
    <w:lvl w:ilvl="4" w:tplc="8B0489D8">
      <w:numFmt w:val="decimal"/>
      <w:lvlText w:val=""/>
      <w:lvlJc w:val="left"/>
    </w:lvl>
    <w:lvl w:ilvl="5" w:tplc="B442CA5A">
      <w:numFmt w:val="decimal"/>
      <w:lvlText w:val=""/>
      <w:lvlJc w:val="left"/>
    </w:lvl>
    <w:lvl w:ilvl="6" w:tplc="6E6ECAE8">
      <w:numFmt w:val="decimal"/>
      <w:lvlText w:val=""/>
      <w:lvlJc w:val="left"/>
    </w:lvl>
    <w:lvl w:ilvl="7" w:tplc="9E56B446">
      <w:numFmt w:val="decimal"/>
      <w:lvlText w:val=""/>
      <w:lvlJc w:val="left"/>
    </w:lvl>
    <w:lvl w:ilvl="8" w:tplc="998891C8">
      <w:numFmt w:val="decimal"/>
      <w:lvlText w:val=""/>
      <w:lvlJc w:val="left"/>
    </w:lvl>
  </w:abstractNum>
  <w:abstractNum w:abstractNumId="4" w15:restartNumberingAfterBreak="0">
    <w:nsid w:val="55E86233"/>
    <w:multiLevelType w:val="hybridMultilevel"/>
    <w:tmpl w:val="2DDA4B6E"/>
    <w:lvl w:ilvl="0" w:tplc="31F60A4A">
      <w:start w:val="1"/>
      <w:numFmt w:val="decimal"/>
      <w:lvlText w:val="%1."/>
      <w:lvlJc w:val="left"/>
      <w:pPr>
        <w:ind w:left="540" w:hanging="300"/>
      </w:pPr>
    </w:lvl>
    <w:lvl w:ilvl="1" w:tplc="382A234A">
      <w:numFmt w:val="decimal"/>
      <w:lvlText w:val=""/>
      <w:lvlJc w:val="left"/>
    </w:lvl>
    <w:lvl w:ilvl="2" w:tplc="24B6CC46">
      <w:numFmt w:val="decimal"/>
      <w:lvlText w:val=""/>
      <w:lvlJc w:val="left"/>
    </w:lvl>
    <w:lvl w:ilvl="3" w:tplc="515EF02E">
      <w:numFmt w:val="decimal"/>
      <w:lvlText w:val=""/>
      <w:lvlJc w:val="left"/>
    </w:lvl>
    <w:lvl w:ilvl="4" w:tplc="B8F89150">
      <w:numFmt w:val="decimal"/>
      <w:lvlText w:val=""/>
      <w:lvlJc w:val="left"/>
    </w:lvl>
    <w:lvl w:ilvl="5" w:tplc="3C281CA0">
      <w:numFmt w:val="decimal"/>
      <w:lvlText w:val=""/>
      <w:lvlJc w:val="left"/>
    </w:lvl>
    <w:lvl w:ilvl="6" w:tplc="706C5BB4">
      <w:numFmt w:val="decimal"/>
      <w:lvlText w:val=""/>
      <w:lvlJc w:val="left"/>
    </w:lvl>
    <w:lvl w:ilvl="7" w:tplc="87E838E6">
      <w:numFmt w:val="decimal"/>
      <w:lvlText w:val=""/>
      <w:lvlJc w:val="left"/>
    </w:lvl>
    <w:lvl w:ilvl="8" w:tplc="379833E0">
      <w:numFmt w:val="decimal"/>
      <w:lvlText w:val=""/>
      <w:lvlJc w:val="left"/>
    </w:lvl>
  </w:abstractNum>
  <w:num w:numId="1" w16cid:durableId="1168061843">
    <w:abstractNumId w:val="0"/>
    <w:lvlOverride w:ilvl="0">
      <w:startOverride w:val="1"/>
    </w:lvlOverride>
  </w:num>
  <w:num w:numId="2" w16cid:durableId="602761182">
    <w:abstractNumId w:val="1"/>
    <w:lvlOverride w:ilvl="0">
      <w:startOverride w:val="1"/>
    </w:lvlOverride>
  </w:num>
  <w:num w:numId="3" w16cid:durableId="2055079858">
    <w:abstractNumId w:val="2"/>
    <w:lvlOverride w:ilvl="0">
      <w:startOverride w:val="1"/>
    </w:lvlOverride>
  </w:num>
  <w:num w:numId="4" w16cid:durableId="123446393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DB"/>
    <w:rsid w:val="001D53DB"/>
    <w:rsid w:val="00592A6D"/>
    <w:rsid w:val="00603827"/>
    <w:rsid w:val="007F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D8829"/>
  <w15:docId w15:val="{E0840832-6858-CD40-8E2A-DCE4CCD0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CA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5F6B7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Kelly Kim</cp:lastModifiedBy>
  <cp:revision>2</cp:revision>
  <dcterms:created xsi:type="dcterms:W3CDTF">2026-04-27T00:08:00Z</dcterms:created>
  <dcterms:modified xsi:type="dcterms:W3CDTF">2026-04-27T01:28:00Z</dcterms:modified>
</cp:coreProperties>
</file>