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BA" w:rsidRDefault="006B5FB9">
      <w:pP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</w:pPr>
      <w:r>
        <w:rPr>
          <w:rFonts w:ascii="Helvetica Neue" w:hAnsi="Helvetica Neue"/>
          <w:color w:val="4F4F4F"/>
        </w:rPr>
        <w:t>-</w:t>
      </w:r>
      <w:r>
        <w:rPr>
          <w:rFonts w:ascii="Helvetica Neue" w:hAnsi="Helvetica Neue"/>
          <w:color w:val="4F4F4F"/>
        </w:rPr>
        <w:t>Lines starting with the keyword</w:t>
      </w:r>
      <w:r>
        <w:rPr>
          <w:rStyle w:val="apple-converted-space"/>
          <w:rFonts w:ascii="Helvetica Neue" w:hAnsi="Helvetica Neue"/>
          <w:color w:val="4F4F4F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  <w:t>Feature</w:t>
      </w:r>
    </w:p>
    <w:p w:rsidR="00DB38BB" w:rsidRDefault="00DB38BB" w:rsidP="00DB38B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  <w:t>-</w:t>
      </w:r>
      <w:r>
        <w:rPr>
          <w:rFonts w:ascii="BookmanStd-Light" w:hAnsi="BookmanStd-Light" w:cs="BookmanStd-Light"/>
          <w:sz w:val="19"/>
          <w:szCs w:val="19"/>
        </w:rPr>
        <w:t>it just gives you a convenient</w:t>
      </w:r>
      <w:r>
        <w:rPr>
          <w:rFonts w:ascii="BookmanStd-Light" w:hAnsi="BookmanStd-Light" w:cs="BookmanStd-Light"/>
          <w:sz w:val="19"/>
          <w:szCs w:val="19"/>
        </w:rPr>
        <w:t xml:space="preserve"> </w:t>
      </w:r>
      <w:r>
        <w:rPr>
          <w:rFonts w:ascii="BookmanStd-Light" w:hAnsi="BookmanStd-Light" w:cs="BookmanStd-Light"/>
          <w:sz w:val="19"/>
          <w:szCs w:val="19"/>
        </w:rPr>
        <w:t>place to put some summary documentation about the group of tests</w:t>
      </w:r>
    </w:p>
    <w:p w:rsidR="00480934" w:rsidRDefault="00480934" w:rsidP="00DB38B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480934" w:rsidRDefault="00480934" w:rsidP="00DB38BB">
      <w:pPr>
        <w:autoSpaceDE w:val="0"/>
        <w:autoSpaceDN w:val="0"/>
        <w:adjustRightInd w:val="0"/>
        <w:spacing w:after="0" w:line="240" w:lineRule="auto"/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</w:pPr>
      <w:r>
        <w:rPr>
          <w:rFonts w:ascii="BookmanStd-Light" w:hAnsi="BookmanStd-Light" w:cs="BookmanStd-Light"/>
          <w:sz w:val="19"/>
          <w:szCs w:val="19"/>
        </w:rPr>
        <w:t>Scenario:</w:t>
      </w:r>
    </w:p>
    <w:p w:rsidR="006B5FB9" w:rsidRDefault="006B5FB9">
      <w:pPr>
        <w:rPr>
          <w:rFonts w:ascii="Helvetica Neue" w:hAnsi="Helvetica Neue"/>
          <w:color w:val="4F4F4F"/>
        </w:rPr>
      </w:pP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  <w:t>-</w:t>
      </w:r>
      <w:r>
        <w:rPr>
          <w:rFonts w:ascii="Helvetica Neue" w:hAnsi="Helvetica Neue"/>
          <w:color w:val="4F4F4F"/>
        </w:rPr>
        <w:t>A feature usually contains a list of scenarios</w:t>
      </w:r>
      <w:r>
        <w:rPr>
          <w:rFonts w:ascii="Helvetica Neue" w:hAnsi="Helvetica Neue"/>
          <w:color w:val="4F4F4F"/>
        </w:rPr>
        <w:t>.</w:t>
      </w:r>
    </w:p>
    <w:p w:rsidR="00DB38BB" w:rsidRDefault="00DB38BB" w:rsidP="00DB38B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In valid Gherkin, a </w:t>
      </w:r>
      <w:r>
        <w:rPr>
          <w:rFonts w:ascii="DejaVuSans" w:hAnsi="DejaVuSans" w:cs="DejaVuSans"/>
          <w:sz w:val="17"/>
          <w:szCs w:val="17"/>
        </w:rPr>
        <w:t>Feat</w:t>
      </w:r>
      <w:r>
        <w:rPr>
          <w:rFonts w:ascii="DejaVuSans" w:hAnsi="DejaVuSans" w:cs="DejaVuSans"/>
          <w:sz w:val="17"/>
          <w:szCs w:val="17"/>
        </w:rPr>
        <w:t xml:space="preserve">ure </w:t>
      </w:r>
      <w:r>
        <w:rPr>
          <w:rFonts w:ascii="BookmanStd-Light" w:hAnsi="BookmanStd-Light" w:cs="BookmanStd-Light"/>
          <w:sz w:val="19"/>
          <w:szCs w:val="19"/>
        </w:rPr>
        <w:t>must be followed by one of the following:</w:t>
      </w:r>
    </w:p>
    <w:p w:rsidR="00DB38BB" w:rsidRDefault="00DB38BB" w:rsidP="00DB38B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7"/>
          <w:szCs w:val="17"/>
        </w:rPr>
      </w:pPr>
      <w:r>
        <w:rPr>
          <w:rFonts w:ascii="BookmanStd-Light" w:hAnsi="BookmanStd-Light" w:cs="BookmanStd-Light"/>
          <w:sz w:val="19"/>
          <w:szCs w:val="19"/>
        </w:rPr>
        <w:t xml:space="preserve">• </w:t>
      </w:r>
      <w:r>
        <w:rPr>
          <w:rFonts w:ascii="DejaVuSans" w:hAnsi="DejaVuSans" w:cs="DejaVuSans"/>
          <w:sz w:val="17"/>
          <w:szCs w:val="17"/>
        </w:rPr>
        <w:t>Scenario</w:t>
      </w:r>
    </w:p>
    <w:p w:rsidR="00DB38BB" w:rsidRDefault="00DB38BB" w:rsidP="00DB38B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7"/>
          <w:szCs w:val="17"/>
        </w:rPr>
      </w:pPr>
      <w:r>
        <w:rPr>
          <w:rFonts w:ascii="BookmanStd-Light" w:hAnsi="BookmanStd-Light" w:cs="BookmanStd-Light"/>
          <w:sz w:val="19"/>
          <w:szCs w:val="19"/>
        </w:rPr>
        <w:t xml:space="preserve">• </w:t>
      </w:r>
      <w:r>
        <w:rPr>
          <w:rFonts w:ascii="DejaVuSans" w:hAnsi="DejaVuSans" w:cs="DejaVuSans"/>
          <w:sz w:val="17"/>
          <w:szCs w:val="17"/>
        </w:rPr>
        <w:t>Background</w:t>
      </w:r>
    </w:p>
    <w:p w:rsidR="00DB38BB" w:rsidRDefault="00DB38BB" w:rsidP="00DB38BB">
      <w:pPr>
        <w:rPr>
          <w:rFonts w:ascii="Helvetica Neue" w:hAnsi="Helvetica Neue"/>
          <w:color w:val="4F4F4F"/>
        </w:rPr>
      </w:pPr>
      <w:r>
        <w:rPr>
          <w:rFonts w:ascii="BookmanStd-Light" w:hAnsi="BookmanStd-Light" w:cs="BookmanStd-Light"/>
          <w:sz w:val="19"/>
          <w:szCs w:val="19"/>
        </w:rPr>
        <w:t xml:space="preserve">• </w:t>
      </w:r>
      <w:r>
        <w:rPr>
          <w:rFonts w:ascii="DejaVuSans" w:hAnsi="DejaVuSans" w:cs="DejaVuSans"/>
          <w:sz w:val="17"/>
          <w:szCs w:val="17"/>
        </w:rPr>
        <w:t>Scenario Outline</w:t>
      </w:r>
    </w:p>
    <w:p w:rsidR="00111D48" w:rsidRDefault="00111D48">
      <w:pP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</w:pPr>
      <w:r>
        <w:rPr>
          <w:rFonts w:ascii="Helvetica Neue" w:hAnsi="Helvetica Neue"/>
          <w:color w:val="4F4F4F"/>
        </w:rPr>
        <w:t>-</w:t>
      </w:r>
      <w:r>
        <w:rPr>
          <w:rFonts w:ascii="Helvetica Neue" w:hAnsi="Helvetica Neue"/>
          <w:color w:val="4F4F4F"/>
        </w:rPr>
        <w:t>Every scenario consists of a list of</w:t>
      </w:r>
      <w:r>
        <w:rPr>
          <w:rStyle w:val="apple-converted-space"/>
          <w:rFonts w:ascii="Helvetica Neue" w:hAnsi="Helvetica Neue"/>
          <w:color w:val="4F4F4F"/>
        </w:rPr>
        <w:t> </w:t>
      </w:r>
      <w:hyperlink r:id="rId5" w:anchor="steps" w:history="1">
        <w:r>
          <w:rPr>
            <w:rStyle w:val="Hyperlink"/>
            <w:rFonts w:ascii="Helvetica Neue" w:hAnsi="Helvetica Neue"/>
            <w:color w:val="000000"/>
          </w:rPr>
          <w:t>steps</w:t>
        </w:r>
      </w:hyperlink>
      <w:r>
        <w:rPr>
          <w:rFonts w:ascii="Helvetica Neue" w:hAnsi="Helvetica Neue"/>
          <w:color w:val="4F4F4F"/>
        </w:rPr>
        <w:t xml:space="preserve">, which must start with one of the </w:t>
      </w:r>
      <w:proofErr w:type="spellStart"/>
      <w:r>
        <w:rPr>
          <w:rFonts w:ascii="Helvetica Neue" w:hAnsi="Helvetica Neue"/>
          <w:color w:val="4F4F4F"/>
        </w:rPr>
        <w:t>keywords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  <w:t>Given</w:t>
      </w:r>
      <w:proofErr w:type="spellEnd"/>
      <w:r>
        <w:rPr>
          <w:rFonts w:ascii="Helvetica Neue" w:hAnsi="Helvetica Neue"/>
          <w:color w:val="4F4F4F"/>
        </w:rPr>
        <w:t>,</w:t>
      </w:r>
      <w:r>
        <w:rPr>
          <w:rStyle w:val="apple-converted-space"/>
          <w:rFonts w:ascii="Helvetica Neue" w:hAnsi="Helvetica Neue"/>
          <w:color w:val="4F4F4F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  <w:t>When</w:t>
      </w:r>
      <w:r>
        <w:rPr>
          <w:rFonts w:ascii="Helvetica Neue" w:hAnsi="Helvetica Neue"/>
          <w:color w:val="4F4F4F"/>
        </w:rPr>
        <w:t>,</w:t>
      </w:r>
      <w:r>
        <w:rPr>
          <w:rStyle w:val="apple-converted-space"/>
          <w:rFonts w:ascii="Helvetica Neue" w:hAnsi="Helvetica Neue"/>
          <w:color w:val="4F4F4F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  <w:t>Then</w:t>
      </w:r>
      <w:r>
        <w:rPr>
          <w:rFonts w:ascii="Helvetica Neue" w:hAnsi="Helvetica Neue"/>
          <w:color w:val="4F4F4F"/>
        </w:rPr>
        <w:t>,</w:t>
      </w:r>
      <w:r>
        <w:rPr>
          <w:rStyle w:val="apple-converted-space"/>
          <w:rFonts w:ascii="Helvetica Neue" w:hAnsi="Helvetica Neue"/>
          <w:color w:val="4F4F4F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  <w:t>But</w:t>
      </w:r>
      <w:r>
        <w:rPr>
          <w:rStyle w:val="apple-converted-space"/>
          <w:rFonts w:ascii="Helvetica Neue" w:hAnsi="Helvetica Neue"/>
          <w:color w:val="4F4F4F"/>
        </w:rPr>
        <w:t> </w:t>
      </w:r>
      <w:proofErr w:type="spellStart"/>
      <w:r>
        <w:rPr>
          <w:rFonts w:ascii="Helvetica Neue" w:hAnsi="Helvetica Neue"/>
          <w:color w:val="4F4F4F"/>
        </w:rPr>
        <w:t>or</w:t>
      </w:r>
      <w:proofErr w:type="spellEnd"/>
      <w:r>
        <w:rPr>
          <w:rStyle w:val="apple-converted-space"/>
          <w:rFonts w:ascii="Helvetica Neue" w:hAnsi="Helvetica Neue"/>
          <w:color w:val="4F4F4F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  <w:t>And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  <w:t>.</w:t>
      </w:r>
    </w:p>
    <w:p w:rsidR="00111D48" w:rsidRDefault="00111D48">
      <w:pPr>
        <w:rPr>
          <w:rFonts w:ascii="Helvetica Neue" w:hAnsi="Helvetica Neue"/>
          <w:color w:val="4F4F4F"/>
        </w:rPr>
      </w:pP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  <w:t>-</w:t>
      </w:r>
      <w:r>
        <w:rPr>
          <w:rFonts w:ascii="Helvetica Neue" w:hAnsi="Helvetica Neue"/>
          <w:color w:val="4F4F4F"/>
        </w:rPr>
        <w:t>In addition to basic</w:t>
      </w:r>
      <w:r>
        <w:rPr>
          <w:rStyle w:val="apple-converted-space"/>
          <w:rFonts w:ascii="Helvetica Neue" w:hAnsi="Helvetica Neue"/>
          <w:color w:val="4F4F4F"/>
        </w:rPr>
        <w:t> </w:t>
      </w:r>
      <w:hyperlink r:id="rId6" w:anchor="scenarios" w:history="1">
        <w:r>
          <w:rPr>
            <w:rStyle w:val="Hyperlink"/>
            <w:rFonts w:ascii="Helvetica Neue" w:hAnsi="Helvetica Neue"/>
            <w:color w:val="000000"/>
          </w:rPr>
          <w:t>scenarios</w:t>
        </w:r>
      </w:hyperlink>
      <w:r>
        <w:rPr>
          <w:rFonts w:ascii="Helvetica Neue" w:hAnsi="Helvetica Neue"/>
          <w:color w:val="4F4F4F"/>
        </w:rPr>
        <w:t>, feature may contain</w:t>
      </w:r>
      <w:r>
        <w:rPr>
          <w:rStyle w:val="apple-converted-space"/>
          <w:rFonts w:ascii="Helvetica Neue" w:hAnsi="Helvetica Neue"/>
          <w:color w:val="4F4F4F"/>
        </w:rPr>
        <w:t> </w:t>
      </w:r>
      <w:hyperlink r:id="rId7" w:anchor="scenario-outlines" w:history="1">
        <w:r>
          <w:rPr>
            <w:rStyle w:val="Hyperlink"/>
            <w:rFonts w:ascii="Helvetica Neue" w:hAnsi="Helvetica Neue"/>
            <w:color w:val="000000"/>
          </w:rPr>
          <w:t>scenario outlines</w:t>
        </w:r>
      </w:hyperlink>
      <w:r>
        <w:rPr>
          <w:rStyle w:val="apple-converted-space"/>
          <w:rFonts w:ascii="Helvetica Neue" w:hAnsi="Helvetica Neue"/>
          <w:color w:val="4F4F4F"/>
        </w:rPr>
        <w:t> </w:t>
      </w:r>
      <w:r>
        <w:rPr>
          <w:rFonts w:ascii="Helvetica Neue" w:hAnsi="Helvetica Neue"/>
          <w:color w:val="4F4F4F"/>
        </w:rPr>
        <w:t>and</w:t>
      </w:r>
      <w:r>
        <w:rPr>
          <w:rFonts w:ascii="Helvetica Neue" w:hAnsi="Helvetica Neue"/>
          <w:color w:val="4F4F4F"/>
        </w:rPr>
        <w:t xml:space="preserve"> </w:t>
      </w:r>
      <w:hyperlink r:id="rId8" w:anchor="backgrounds" w:history="1">
        <w:r>
          <w:rPr>
            <w:rStyle w:val="Hyperlink"/>
            <w:rFonts w:ascii="Helvetica Neue" w:hAnsi="Helvetica Neue"/>
            <w:color w:val="000000"/>
          </w:rPr>
          <w:t>backgrounds</w:t>
        </w:r>
      </w:hyperlink>
      <w:r>
        <w:rPr>
          <w:rFonts w:ascii="Helvetica Neue" w:hAnsi="Helvetica Neue"/>
          <w:color w:val="4F4F4F"/>
        </w:rPr>
        <w:t>.</w:t>
      </w:r>
    </w:p>
    <w:p w:rsidR="00111D48" w:rsidRDefault="00111D48">
      <w:pPr>
        <w:rPr>
          <w:rFonts w:ascii="Helvetica Neue" w:hAnsi="Helvetica Neue"/>
          <w:color w:val="4F4F4F"/>
        </w:rPr>
      </w:pPr>
      <w:r>
        <w:rPr>
          <w:rFonts w:ascii="Helvetica Neue" w:hAnsi="Helvetica Neue"/>
          <w:color w:val="4F4F4F"/>
        </w:rPr>
        <w:t>-</w:t>
      </w:r>
      <w:r>
        <w:rPr>
          <w:rFonts w:ascii="Helvetica Neue" w:hAnsi="Helvetica Neue"/>
          <w:color w:val="4F4F4F"/>
        </w:rPr>
        <w:t xml:space="preserve">Scenario is one of the core Gherkin structures. </w:t>
      </w:r>
    </w:p>
    <w:p w:rsidR="00111D48" w:rsidRDefault="00111D48">
      <w:pPr>
        <w:rPr>
          <w:rFonts w:ascii="Helvetica Neue" w:hAnsi="Helvetica Neue"/>
          <w:color w:val="4F4F4F"/>
        </w:rPr>
      </w:pPr>
      <w:r>
        <w:rPr>
          <w:rFonts w:ascii="Helvetica Neue" w:hAnsi="Helvetica Neue"/>
          <w:color w:val="4F4F4F"/>
        </w:rPr>
        <w:t>-</w:t>
      </w:r>
      <w:r>
        <w:rPr>
          <w:rFonts w:ascii="Helvetica Neue" w:hAnsi="Helvetica Neue"/>
          <w:color w:val="4F4F4F"/>
        </w:rPr>
        <w:t>Every scenario starts with the</w:t>
      </w:r>
      <w:r>
        <w:rPr>
          <w:rFonts w:ascii="Helvetica Neue" w:hAnsi="Helvetica Neue"/>
          <w:color w:val="4F4F4F"/>
        </w:rPr>
        <w:t xml:space="preserve"> 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CCCCCC"/>
        </w:rPr>
        <w:t>Scenario:</w:t>
      </w:r>
      <w:r>
        <w:rPr>
          <w:rStyle w:val="apple-converted-space"/>
          <w:rFonts w:ascii="Helvetica Neue" w:hAnsi="Helvetica Neue"/>
          <w:color w:val="4F4F4F"/>
        </w:rPr>
        <w:t> </w:t>
      </w:r>
      <w:proofErr w:type="gramStart"/>
      <w:r>
        <w:rPr>
          <w:rFonts w:ascii="Helvetica Neue" w:hAnsi="Helvetica Neue"/>
          <w:color w:val="4F4F4F"/>
        </w:rPr>
        <w:t xml:space="preserve">keyword </w:t>
      </w:r>
      <w:r>
        <w:rPr>
          <w:rFonts w:ascii="Helvetica Neue" w:hAnsi="Helvetica Neue"/>
          <w:color w:val="4F4F4F"/>
        </w:rPr>
        <w:t>,</w:t>
      </w:r>
      <w:proofErr w:type="gramEnd"/>
      <w:r>
        <w:rPr>
          <w:rFonts w:ascii="Helvetica Neue" w:hAnsi="Helvetica Neue"/>
          <w:color w:val="4F4F4F"/>
        </w:rPr>
        <w:t xml:space="preserve"> followed by an optional scenar</w:t>
      </w:r>
      <w:r w:rsidR="00480934">
        <w:rPr>
          <w:rFonts w:ascii="Helvetica Neue" w:hAnsi="Helvetica Neue"/>
          <w:color w:val="4F4F4F"/>
        </w:rPr>
        <w:t>io title.</w:t>
      </w:r>
    </w:p>
    <w:p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When Cucumber runs a scenario, if the system behaves as described in the</w:t>
      </w:r>
    </w:p>
    <w:p w:rsidR="00480934" w:rsidRDefault="00480934" w:rsidP="00480934">
      <w:pPr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scenario</w:t>
      </w:r>
      <w:proofErr w:type="gramEnd"/>
      <w:r>
        <w:rPr>
          <w:rFonts w:ascii="BookmanStd-Light" w:hAnsi="BookmanStd-Light" w:cs="BookmanStd-Light"/>
          <w:sz w:val="19"/>
          <w:szCs w:val="19"/>
        </w:rPr>
        <w:t>, then the scenario will pass; if not, it will fai</w:t>
      </w:r>
      <w:r>
        <w:rPr>
          <w:rFonts w:ascii="BookmanStd-Light" w:hAnsi="BookmanStd-Light" w:cs="BookmanStd-Light"/>
          <w:sz w:val="19"/>
          <w:szCs w:val="19"/>
        </w:rPr>
        <w:t>l.</w:t>
      </w:r>
    </w:p>
    <w:p w:rsidR="00480934" w:rsidRDefault="00480934" w:rsidP="00480934">
      <w:p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 Background:</w:t>
      </w:r>
    </w:p>
    <w:p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background </w:t>
      </w:r>
      <w:r>
        <w:rPr>
          <w:rFonts w:ascii="BookmanStd-Light" w:hAnsi="BookmanStd-Light" w:cs="BookmanStd-Light"/>
          <w:sz w:val="19"/>
          <w:szCs w:val="19"/>
        </w:rPr>
        <w:t>section in a feature file allows you to specify a set of steps that</w:t>
      </w:r>
    </w:p>
    <w:p w:rsidR="00480934" w:rsidRDefault="00480934" w:rsidP="00480934">
      <w:pPr>
        <w:rPr>
          <w:rFonts w:ascii="Helvetica Neue" w:hAnsi="Helvetica Neue"/>
          <w:color w:val="4F4F4F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are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common to every scenario in the file.</w:t>
      </w:r>
    </w:p>
    <w:p w:rsidR="00480934" w:rsidRDefault="00480934">
      <w:pPr>
        <w:rPr>
          <w:rFonts w:ascii="Helvetica Neue" w:hAnsi="Helvetica Neue"/>
          <w:color w:val="4F4F4F"/>
        </w:rPr>
      </w:pPr>
      <w:r>
        <w:rPr>
          <w:rFonts w:ascii="Helvetica Neue" w:hAnsi="Helvetica Neue"/>
          <w:color w:val="4F4F4F"/>
        </w:rPr>
        <w:t>Scenario outline:</w:t>
      </w:r>
    </w:p>
    <w:p w:rsidR="00480934" w:rsidRDefault="00480934" w:rsidP="0048093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We can use a scenario outline to specify the steps once</w:t>
      </w:r>
    </w:p>
    <w:p w:rsidR="00480934" w:rsidRDefault="00480934" w:rsidP="00480934">
      <w:pPr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and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then play multiple sets of values through them</w:t>
      </w:r>
      <w:r w:rsidR="00CF4860">
        <w:rPr>
          <w:rFonts w:ascii="BookmanStd-Light" w:hAnsi="BookmanStd-Light" w:cs="BookmanStd-Light"/>
          <w:sz w:val="19"/>
          <w:szCs w:val="19"/>
        </w:rPr>
        <w:t>.</w:t>
      </w:r>
    </w:p>
    <w:p w:rsidR="00CF4860" w:rsidRDefault="00CF4860" w:rsidP="00CF4860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We indicate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placeholders </w:t>
      </w:r>
      <w:r>
        <w:rPr>
          <w:rFonts w:ascii="BookmanStd-Light" w:hAnsi="BookmanStd-Light" w:cs="BookmanStd-Light"/>
          <w:sz w:val="19"/>
          <w:szCs w:val="19"/>
        </w:rPr>
        <w:t>within the scenario outline using angle brackets</w:t>
      </w:r>
    </w:p>
    <w:p w:rsidR="00CF4860" w:rsidRDefault="00CF4860" w:rsidP="00CF4860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(</w:t>
      </w:r>
      <w:r>
        <w:rPr>
          <w:rFonts w:ascii="DejaVuSans" w:hAnsi="DejaVuSans" w:cs="DejaVuSans"/>
          <w:sz w:val="17"/>
          <w:szCs w:val="17"/>
        </w:rPr>
        <w:t>&lt;..&gt;</w:t>
      </w:r>
      <w:r>
        <w:rPr>
          <w:rFonts w:ascii="BookmanStd-Light" w:hAnsi="BookmanStd-Light" w:cs="BookmanStd-Light"/>
          <w:sz w:val="19"/>
          <w:szCs w:val="19"/>
        </w:rPr>
        <w:t xml:space="preserve">) where we want real values to be substituted. </w:t>
      </w:r>
    </w:p>
    <w:p w:rsidR="00CF4860" w:rsidRDefault="00CF4860" w:rsidP="00CF4860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The scenario outline itself</w:t>
      </w:r>
    </w:p>
    <w:p w:rsidR="00CF4860" w:rsidRDefault="00CF4860" w:rsidP="00CF4860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is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useless without a table of </w:t>
      </w:r>
      <w:r>
        <w:rPr>
          <w:rFonts w:ascii="DejaVuSans" w:hAnsi="DejaVuSans" w:cs="DejaVuSans"/>
          <w:sz w:val="17"/>
          <w:szCs w:val="17"/>
        </w:rPr>
        <w:t>Examples</w:t>
      </w:r>
      <w:r>
        <w:rPr>
          <w:rFonts w:ascii="BookmanStd-Light" w:hAnsi="BookmanStd-Light" w:cs="BookmanStd-Light"/>
          <w:sz w:val="19"/>
          <w:szCs w:val="19"/>
        </w:rPr>
        <w:t>, which lists rows of values to be substituted</w:t>
      </w:r>
    </w:p>
    <w:p w:rsidR="00CF4860" w:rsidRDefault="00CF4860" w:rsidP="00CF4860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for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each placeholder.</w:t>
      </w:r>
    </w:p>
    <w:p w:rsidR="00CF4860" w:rsidRDefault="00CF4860" w:rsidP="00CF4860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You can have any number of </w:t>
      </w:r>
      <w:r>
        <w:rPr>
          <w:rFonts w:ascii="DejaVuSans" w:hAnsi="DejaVuSans" w:cs="DejaVuSans"/>
          <w:sz w:val="17"/>
          <w:szCs w:val="17"/>
        </w:rPr>
        <w:t xml:space="preserve">Scenario Outline </w:t>
      </w:r>
      <w:r>
        <w:rPr>
          <w:rFonts w:ascii="BookmanStd-Light" w:hAnsi="BookmanStd-Light" w:cs="BookmanStd-Light"/>
          <w:sz w:val="19"/>
          <w:szCs w:val="19"/>
        </w:rPr>
        <w:t>elements in a feature and any</w:t>
      </w:r>
    </w:p>
    <w:p w:rsidR="00CF4860" w:rsidRDefault="00CF4860" w:rsidP="00CF4860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number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of </w:t>
      </w:r>
      <w:r>
        <w:rPr>
          <w:rFonts w:ascii="DejaVuSans" w:hAnsi="DejaVuSans" w:cs="DejaVuSans"/>
          <w:sz w:val="17"/>
          <w:szCs w:val="17"/>
        </w:rPr>
        <w:t xml:space="preserve">Examples </w:t>
      </w:r>
      <w:r>
        <w:rPr>
          <w:rFonts w:ascii="BookmanStd-Light" w:hAnsi="BookmanStd-Light" w:cs="BookmanStd-Light"/>
          <w:sz w:val="19"/>
          <w:szCs w:val="19"/>
        </w:rPr>
        <w:t>tables under each scenario outline. Behind the scenes,</w:t>
      </w:r>
    </w:p>
    <w:p w:rsidR="00CF4860" w:rsidRDefault="00CF4860" w:rsidP="00CF4860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proofErr w:type="spellStart"/>
      <w:proofErr w:type="gramStart"/>
      <w:r>
        <w:rPr>
          <w:rFonts w:ascii="BookmanStd-Light" w:hAnsi="BookmanStd-Light" w:cs="BookmanStd-Light"/>
          <w:sz w:val="19"/>
          <w:szCs w:val="19"/>
        </w:rPr>
        <w:t>behat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</w:t>
      </w:r>
      <w:r>
        <w:rPr>
          <w:rFonts w:ascii="BookmanStd-Light" w:hAnsi="BookmanStd-Light" w:cs="BookmanStd-Light"/>
          <w:sz w:val="19"/>
          <w:szCs w:val="19"/>
        </w:rPr>
        <w:t xml:space="preserve"> converts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each row in the </w:t>
      </w:r>
      <w:r>
        <w:rPr>
          <w:rFonts w:ascii="DejaVuSans" w:hAnsi="DejaVuSans" w:cs="DejaVuSans"/>
          <w:sz w:val="17"/>
          <w:szCs w:val="17"/>
        </w:rPr>
        <w:t xml:space="preserve">Examples </w:t>
      </w:r>
      <w:r>
        <w:rPr>
          <w:rFonts w:ascii="BookmanStd-Light" w:hAnsi="BookmanStd-Light" w:cs="BookmanStd-Light"/>
          <w:sz w:val="19"/>
          <w:szCs w:val="19"/>
        </w:rPr>
        <w:t>table into a scenario before executing</w:t>
      </w:r>
    </w:p>
    <w:p w:rsidR="00CF4860" w:rsidRDefault="00CF4860" w:rsidP="00CF4860">
      <w:pPr>
        <w:rPr>
          <w:rFonts w:ascii="DejaVuSans" w:hAnsi="DejaVuSans" w:cs="DejaVuSans"/>
          <w:sz w:val="17"/>
          <w:szCs w:val="17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it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. You can prove this to yourself by using the </w:t>
      </w:r>
      <w:r w:rsidR="007037D0">
        <w:rPr>
          <w:rFonts w:ascii="DejaVuSans" w:hAnsi="DejaVuSans" w:cs="DejaVuSans"/>
          <w:sz w:val="17"/>
          <w:szCs w:val="17"/>
        </w:rPr>
        <w:t>–</w:t>
      </w:r>
      <w:r>
        <w:rPr>
          <w:rFonts w:ascii="DejaVuSans" w:hAnsi="DejaVuSans" w:cs="DejaVuSans"/>
          <w:sz w:val="17"/>
          <w:szCs w:val="17"/>
        </w:rPr>
        <w:t>expand</w:t>
      </w:r>
    </w:p>
    <w:p w:rsidR="007037D0" w:rsidRDefault="007037D0" w:rsidP="00CF4860">
      <w:pPr>
        <w:rPr>
          <w:rFonts w:ascii="DejaVuSans" w:hAnsi="DejaVuSans" w:cs="DejaVuSans"/>
          <w:sz w:val="17"/>
          <w:szCs w:val="17"/>
        </w:rPr>
      </w:pPr>
    </w:p>
    <w:p w:rsidR="007037D0" w:rsidRDefault="007037D0" w:rsidP="00CF4860">
      <w:pPr>
        <w:rPr>
          <w:rFonts w:ascii="DejaVuSans" w:hAnsi="DejaVuSans" w:cs="DejaVuSans"/>
          <w:sz w:val="17"/>
          <w:szCs w:val="17"/>
        </w:rPr>
      </w:pPr>
      <w:proofErr w:type="gramStart"/>
      <w:r>
        <w:rPr>
          <w:rFonts w:ascii="DejaVuSans" w:hAnsi="DejaVuSans" w:cs="DejaVuSans"/>
          <w:sz w:val="17"/>
          <w:szCs w:val="17"/>
        </w:rPr>
        <w:t>grouping</w:t>
      </w:r>
      <w:proofErr w:type="gramEnd"/>
      <w:r>
        <w:rPr>
          <w:rFonts w:ascii="DejaVuSans" w:hAnsi="DejaVuSans" w:cs="DejaVuSans"/>
          <w:sz w:val="17"/>
          <w:szCs w:val="17"/>
        </w:rPr>
        <w:t>:</w:t>
      </w:r>
    </w:p>
    <w:p w:rsidR="007037D0" w:rsidRDefault="007037D0" w:rsidP="00CF4860">
      <w:pPr>
        <w:rPr>
          <w:rFonts w:ascii="Helvetica Neue" w:hAnsi="Helvetica Neue"/>
          <w:color w:val="4F4F4F"/>
        </w:rPr>
      </w:pPr>
      <w:r>
        <w:rPr>
          <w:rFonts w:ascii="Helvetica Neue" w:hAnsi="Helvetica Neue"/>
          <w:color w:val="4F4F4F"/>
        </w:rPr>
        <w:t>You can use</w:t>
      </w:r>
      <w:r>
        <w:rPr>
          <w:rStyle w:val="apple-converted-space"/>
          <w:rFonts w:ascii="Helvetica Neue" w:hAnsi="Helvetica Neue"/>
          <w:color w:val="4F4F4F"/>
        </w:rPr>
        <w:t> </w:t>
      </w:r>
      <w:hyperlink r:id="rId9" w:anchor="tags" w:history="1">
        <w:r>
          <w:rPr>
            <w:rStyle w:val="Hyperlink"/>
            <w:rFonts w:ascii="Helvetica Neue" w:hAnsi="Helvetica Neue"/>
            <w:color w:val="000000"/>
          </w:rPr>
          <w:t>tags</w:t>
        </w:r>
      </w:hyperlink>
      <w:r>
        <w:rPr>
          <w:rStyle w:val="apple-converted-space"/>
          <w:rFonts w:ascii="Helvetica Neue" w:hAnsi="Helvetica Neue"/>
          <w:color w:val="4F4F4F"/>
        </w:rPr>
        <w:t> </w:t>
      </w:r>
      <w:r>
        <w:rPr>
          <w:rFonts w:ascii="Helvetica Neue" w:hAnsi="Helvetica Neue"/>
          <w:color w:val="4F4F4F"/>
        </w:rPr>
        <w:t>to group features and scenarios together, independent of your file and directory structure</w:t>
      </w:r>
      <w:r>
        <w:rPr>
          <w:rFonts w:ascii="Helvetica Neue" w:hAnsi="Helvetica Neue"/>
          <w:color w:val="4F4F4F"/>
        </w:rPr>
        <w:t>.</w:t>
      </w:r>
    </w:p>
    <w:p w:rsidR="007037D0" w:rsidRDefault="007037D0" w:rsidP="00CF4860">
      <w:pPr>
        <w:rPr>
          <w:rFonts w:ascii="Helvetica Neue" w:hAnsi="Helvetica Neue"/>
          <w:color w:val="4F4F4F"/>
        </w:rPr>
      </w:pPr>
      <w:r>
        <w:rPr>
          <w:rFonts w:ascii="Helvetica Neue" w:hAnsi="Helvetica Neue"/>
          <w:color w:val="4F4F4F"/>
        </w:rPr>
        <w:t>Step definitions:</w:t>
      </w:r>
    </w:p>
    <w:p w:rsidR="007037D0" w:rsidRDefault="007037D0" w:rsidP="00CF4860">
      <w:pPr>
        <w:rPr>
          <w:rFonts w:ascii="Helvetica Neue" w:hAnsi="Helvetica Neue"/>
          <w:color w:val="4F4F4F"/>
        </w:rPr>
      </w:pPr>
      <w:r>
        <w:rPr>
          <w:rFonts w:ascii="Helvetica Neue" w:hAnsi="Helvetica Neue"/>
          <w:color w:val="4F4F4F"/>
        </w:rPr>
        <w:t>When you’re executing the feature, the trailing portion o</w:t>
      </w:r>
      <w:r>
        <w:rPr>
          <w:rFonts w:ascii="Helvetica Neue" w:hAnsi="Helvetica Neue"/>
          <w:color w:val="4F4F4F"/>
        </w:rPr>
        <w:t xml:space="preserve">f each </w:t>
      </w:r>
      <w:proofErr w:type="gramStart"/>
      <w:r>
        <w:rPr>
          <w:rFonts w:ascii="Helvetica Neue" w:hAnsi="Helvetica Neue"/>
          <w:color w:val="4F4F4F"/>
        </w:rPr>
        <w:t xml:space="preserve">step </w:t>
      </w:r>
      <w:r>
        <w:rPr>
          <w:rFonts w:ascii="Helvetica Neue" w:hAnsi="Helvetica Neue"/>
          <w:color w:val="4F4F4F"/>
        </w:rPr>
        <w:t xml:space="preserve"> is</w:t>
      </w:r>
      <w:proofErr w:type="gramEnd"/>
      <w:r>
        <w:rPr>
          <w:rFonts w:ascii="Helvetica Neue" w:hAnsi="Helvetica Neue"/>
          <w:color w:val="4F4F4F"/>
        </w:rPr>
        <w:t xml:space="preserve"> matched to a regular expression, which executes a PHP callback function</w:t>
      </w:r>
      <w:r w:rsidR="00F8791C">
        <w:rPr>
          <w:rFonts w:ascii="Helvetica Neue" w:hAnsi="Helvetica Neue"/>
          <w:color w:val="4F4F4F"/>
        </w:rPr>
        <w:t>. That we call as step definitions.</w:t>
      </w:r>
    </w:p>
    <w:p w:rsidR="006B5FB9" w:rsidRDefault="001B7862">
      <w:r>
        <w:lastRenderedPageBreak/>
        <w:t>About mink:</w:t>
      </w:r>
    </w:p>
    <w:p w:rsidR="001B7862" w:rsidRDefault="001B7862" w:rsidP="001B786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Helvetica Neue" w:hAnsi="Helvetica Neue"/>
          <w:color w:val="404040"/>
        </w:rPr>
      </w:pPr>
      <w:r>
        <w:rPr>
          <w:rFonts w:ascii="Helvetica Neue" w:hAnsi="Helvetica Neue"/>
          <w:color w:val="404040"/>
        </w:rPr>
        <w:t>Browser is the window through which web users interact with web applications and other users. Users are always talking with web applications through browsers.</w:t>
      </w:r>
    </w:p>
    <w:p w:rsidR="001B7862" w:rsidRDefault="001B7862" w:rsidP="001B786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Helvetica Neue" w:hAnsi="Helvetica Neue"/>
          <w:color w:val="404040"/>
        </w:rPr>
      </w:pPr>
      <w:r>
        <w:rPr>
          <w:rFonts w:ascii="Helvetica Neue" w:hAnsi="Helvetica Neue"/>
          <w:color w:val="404040"/>
        </w:rPr>
        <w:t>So, in order to test that our web application behaves correctly, we need a way to simulate this interaction between the browser and the web application in our tests. We need a</w:t>
      </w:r>
      <w:r>
        <w:rPr>
          <w:rStyle w:val="apple-converted-space"/>
          <w:rFonts w:ascii="Helvetica Neue" w:hAnsi="Helvetica Neue"/>
          <w:color w:val="404040"/>
        </w:rPr>
        <w:t> </w:t>
      </w:r>
      <w:r>
        <w:rPr>
          <w:rStyle w:val="Strong"/>
          <w:rFonts w:ascii="Helvetica Neue" w:hAnsi="Helvetica Neue"/>
          <w:color w:val="404040"/>
        </w:rPr>
        <w:t>Mink</w:t>
      </w:r>
      <w:r>
        <w:rPr>
          <w:rFonts w:ascii="Helvetica Neue" w:hAnsi="Helvetica Neue"/>
          <w:color w:val="404040"/>
        </w:rPr>
        <w:t>.</w:t>
      </w:r>
    </w:p>
    <w:p w:rsidR="001B7862" w:rsidRDefault="001B7862">
      <w:bookmarkStart w:id="0" w:name="_GoBack"/>
      <w:bookmarkEnd w:id="0"/>
    </w:p>
    <w:sectPr w:rsidR="001B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Bookman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B9"/>
    <w:rsid w:val="00111D48"/>
    <w:rsid w:val="001B7862"/>
    <w:rsid w:val="002F1319"/>
    <w:rsid w:val="00480934"/>
    <w:rsid w:val="006B5FB9"/>
    <w:rsid w:val="007037D0"/>
    <w:rsid w:val="007A60BA"/>
    <w:rsid w:val="00CF4860"/>
    <w:rsid w:val="00DB38BB"/>
    <w:rsid w:val="00F821E0"/>
    <w:rsid w:val="00F8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5FB9"/>
  </w:style>
  <w:style w:type="character" w:customStyle="1" w:styleId="pre">
    <w:name w:val="pre"/>
    <w:basedOn w:val="DefaultParagraphFont"/>
    <w:rsid w:val="006B5FB9"/>
  </w:style>
  <w:style w:type="character" w:styleId="Hyperlink">
    <w:name w:val="Hyperlink"/>
    <w:basedOn w:val="DefaultParagraphFont"/>
    <w:uiPriority w:val="99"/>
    <w:semiHidden/>
    <w:unhideWhenUsed/>
    <w:rsid w:val="00111D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78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5FB9"/>
  </w:style>
  <w:style w:type="character" w:customStyle="1" w:styleId="pre">
    <w:name w:val="pre"/>
    <w:basedOn w:val="DefaultParagraphFont"/>
    <w:rsid w:val="006B5FB9"/>
  </w:style>
  <w:style w:type="character" w:styleId="Hyperlink">
    <w:name w:val="Hyperlink"/>
    <w:basedOn w:val="DefaultParagraphFont"/>
    <w:uiPriority w:val="99"/>
    <w:semiHidden/>
    <w:unhideWhenUsed/>
    <w:rsid w:val="00111D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7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behat.org/en/v2.5/guides/1.gherk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behat.org/en/v2.5/guides/1.gherki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behat.org/en/v2.5/guides/1.gherki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behat.org/en/v2.5/guides/1.gherki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behat.org/en/v2.5/guides/1.gherk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 the great</dc:creator>
  <cp:lastModifiedBy>kiruba the great</cp:lastModifiedBy>
  <cp:revision>8</cp:revision>
  <dcterms:created xsi:type="dcterms:W3CDTF">2015-06-29T18:41:00Z</dcterms:created>
  <dcterms:modified xsi:type="dcterms:W3CDTF">2015-06-29T19:30:00Z</dcterms:modified>
</cp:coreProperties>
</file>