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404C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ADR-001: In-Memory Storage for the Vertical Slice</w:t>
      </w:r>
    </w:p>
    <w:p w14:paraId="6D7FDF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Status</w:t>
      </w:r>
    </w:p>
    <w:p w14:paraId="6BF786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Accepted (for current scope). Superseded plan: migrate to SQLAlchemy + PostgreSQL.</w:t>
      </w:r>
    </w:p>
    <w:p w14:paraId="574611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Context</w:t>
      </w:r>
    </w:p>
    <w:p w14:paraId="00F9737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assignment brief suggested SQLAlchemy with PostgreSQL/SQLite and Alembic migrations for persistence. Given the time available, a decision was needed on whether to implement a full database layer or a simpler storage mechanism for the initial vertical slice, in line with the brief's guidance that "a complete vertical slice is preferred over broad but incomplete scope."</w:t>
      </w:r>
    </w:p>
    <w:p w14:paraId="4C0F36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Decision</w:t>
      </w:r>
    </w:p>
    <w:p w14:paraId="1A7D8C6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Use a simple in-memory Python dictionary (keyed by model_id) as the storage layer for models, versions, and deployments, rather than implementing SQLAlchemy models and database migrations for this submission.</w:t>
      </w:r>
    </w:p>
    <w:p w14:paraId="4D1CDA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Alternatives Considered</w:t>
      </w:r>
    </w:p>
    <w:p w14:paraId="4C3FB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SQLAlchemy + SQLite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— the most complete option, matching the brief's suggested stack exactly. Rejected for this submission due to time constraints: schema design, migrations (Alembic), and connection management would have consumed time better spent completing more API surface area and the governance/idempotency logic.</w:t>
      </w:r>
    </w:p>
    <w:p w14:paraId="6E0325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File-based storage (JSON)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— a middle ground, persisting data to disk between restarts. Rejected because it adds complexity (file locking, serialization) without the real benefits of a database (querying, transactions, concurrent access).</w:t>
      </w:r>
    </w:p>
    <w:p w14:paraId="6A01CF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In-memory dictionary (chosen)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— fastest to implement, keeps focus on API design and business logic, and is explicitly and transparently documented as a simplification.</w:t>
      </w:r>
    </w:p>
    <w:p w14:paraId="6915FBB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Consequences</w:t>
      </w:r>
    </w:p>
    <w:p w14:paraId="093B177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Positive</w:t>
      </w:r>
    </w:p>
    <w:p w14:paraId="39A220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Allowed more time to be spent on API design, lifecycle governance, and the deployment/idempotency logic, which are the parts of the system that demonstrate engineering judgment.</w:t>
      </w:r>
    </w:p>
    <w:p w14:paraId="0D1411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Zero setup friction — the evaluator can run the application immediately without provisioning a database.</w:t>
      </w:r>
    </w:p>
    <w:p w14:paraId="1A3383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storage access pattern (a simple key-value lookup) is written so that swapping in a real repository/ORM layer later is a contained change.</w:t>
      </w:r>
    </w:p>
    <w:p w14:paraId="2DD2B20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Negative</w:t>
      </w:r>
    </w:p>
    <w:p w14:paraId="334109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Data does not persist across server restarts.</w:t>
      </w:r>
    </w:p>
    <w:p w14:paraId="3FA30E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support for concurrent access, transactions, or complex queries.</w:t>
      </w:r>
    </w:p>
    <w:p w14:paraId="555B1D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Does not demonstrate SQLAlchemy, migrations, or schema design skills that the brief explicitly asked for.</w:t>
      </w:r>
    </w:p>
    <w:p w14:paraId="7B86F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Cannot be used in any real deployment scenario as-is.</w:t>
      </w:r>
    </w:p>
    <w:p w14:paraId="4520E45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Follow-up Actions</w:t>
      </w:r>
    </w:p>
    <w:p w14:paraId="7072EC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Introduce a Repository interface with methods like get, save, list, so the in-memory implementation can be swapped for a SQLAlchemy-backed one without changing the API layer.</w:t>
      </w:r>
    </w:p>
    <w:p w14:paraId="132C2E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Design the SQLAlchemy schema: models, versions, deployments, and deployment_events tables with foreign keys and appropriate indexes on model_id, version_id, and deployment.status.</w:t>
      </w:r>
    </w:p>
    <w:p w14:paraId="2D2388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Add Alembic for migrations before any schema change ships.</w:t>
      </w:r>
    </w:p>
    <w:p w14:paraId="58E917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Add integration tests against a test database (SQLite in-memory or a Dockerized PostgreSQL for CI).</w:t>
      </w:r>
    </w:p>
    <w:p w14:paraId="6BDB5B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default" w:ascii="sans-serif" w:hAnsi="sans-serif" w:eastAsia="sans-serif" w:cs="sans-serif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66A2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ADR-002: Key-Based Idempotency for Deployment Requests</w:t>
      </w:r>
    </w:p>
    <w:p w14:paraId="5A629CE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Status</w:t>
      </w:r>
    </w:p>
    <w:p w14:paraId="31A0207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Accepted (initial implementation). Noted limitation: in-memory key storage.</w:t>
      </w:r>
    </w:p>
    <w:p w14:paraId="2F326F8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Context</w:t>
      </w:r>
    </w:p>
    <w:p w14:paraId="14E803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assignment explicitly requires safe handling of duplicate deployment requests ("handle duplicate deployment requests safely" is listed as an acceptance scenario, and idempotency is a named red-flag/evaluation item). A deployment is a side-effecting operation — deploying a model version to an environment — so if a client retries a request (due to a network timeout, a double-click, or a client-side retry policy), the system must not create two separate deployments for what was intended as one action.</w:t>
      </w:r>
    </w:p>
    <w:p w14:paraId="0CA9F41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Decision</w:t>
      </w:r>
    </w:p>
    <w:p w14:paraId="38CD102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Accept an optional idempotency_key field on the deployment creation request. On each request, check whether that key has been seen before:</w:t>
      </w:r>
    </w:p>
    <w:p w14:paraId="602C41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If yes, return the existing deployment associated with that key (no new deployment is created, and no side effects are re-executed).</w:t>
      </w:r>
    </w:p>
    <w:p w14:paraId="361602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If no, create the deployment normally and record the key against the new deployment's ID.</w:t>
      </w:r>
    </w:p>
    <w:p w14:paraId="0C84E39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This was implemented as a dictionary mapping idempotency_key -&gt; deployment_id, checked at the start of the create_deployment handler before any deployment object is constructed.</w:t>
      </w:r>
    </w:p>
    <w:p w14:paraId="4B2284A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Alternatives Considered</w:t>
      </w:r>
    </w:p>
    <w:p w14:paraId="5C298F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idempotency handling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— simplest, but explicitly fails the brief's acceptance scenario and the scorecard's red-flag list ("no lifecycle validation" and related governance gaps are penalized; duplicate-request safety is evaluated directly). Rejected.</w:t>
      </w:r>
    </w:p>
    <w:p w14:paraId="23AB05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Deduplicate by request content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(e.g., hash of model_id + version_id + environment within a time window) — avoids requiring the client to supply a key, but is fragile: two </w:t>
      </w:r>
      <w:r>
        <w:rPr>
          <w:rFonts w:hint="default" w:ascii="sans-serif" w:hAnsi="sans-serif" w:eastAsia="sans-serif" w:cs="sans-serif"/>
          <w:i/>
          <w:iCs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legitimately different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deployment requests for the same version to the same environment (e.g., a genuine redeploy) would be incorrectly treated as duplicates. Rejected in favor of explicit, client-supplied keys, which is the standard pattern used by payment and deployment APIs (e.g., Stripe's Idempotency-Key header).</w:t>
      </w:r>
    </w:p>
    <w:p w14:paraId="40AB8D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Client-supplied idempotency key (chosen)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— the client controls what counts as "the same request," which correctly distinguishes retries of the same intent from genuinely new deployment requests.</w:t>
      </w:r>
    </w:p>
    <w:p w14:paraId="3AD802B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Consequences</w:t>
      </w:r>
    </w:p>
    <w:p w14:paraId="5DAC78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Positive</w:t>
      </w:r>
    </w:p>
    <w:p w14:paraId="20E56B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Duplicate requests (from network retries, double-clicks, or client retry logic) do not create duplicate deployments — verified in testing by sending the same request twice and confirming the same deployment_id is returned both times.</w:t>
      </w:r>
    </w:p>
    <w:p w14:paraId="26F85C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pattern matches industry convention (explicit idempotency keys), so it would be a familiar API contract for consumers.</w:t>
      </w:r>
    </w:p>
    <w:p w14:paraId="0DA7FA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check is performed before any deployment object is created, so no partial or duplicate state is ever written.</w:t>
      </w:r>
    </w:p>
    <w:p w14:paraId="7D2F64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Negative</w:t>
      </w:r>
    </w:p>
    <w:p w14:paraId="179E8C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Idempotency keys are stored in memory and are lost on restart, and never expire — in a long-running production system this would grow unbounded and would not survive a restart, which could allow a duplicate through after a redeploy of the service itself.</w:t>
      </w:r>
    </w:p>
    <w:p w14:paraId="5BA22E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Idempotency is only enforced when the client supplies a key; a client that omits it gets no duplicate protection. A stricter design could make the key mandatory.</w:t>
      </w:r>
    </w:p>
    <w:p w14:paraId="5B7E0A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Does not yet handle the harder concurrency case: two requests with the same key arriving at nearly the same instant (a race condition), since there is no locking around the check-then-create sequence.</w:t>
      </w:r>
    </w:p>
    <w:p w14:paraId="418A8A7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Follow-up Actions</w:t>
      </w:r>
    </w:p>
    <w:p w14:paraId="533E2B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Persist idempotency keys in the database with a TTL (e.g., 24 hours), rather than an unbounded in-memory dictionary.</w:t>
      </w:r>
    </w:p>
    <w:p w14:paraId="25F1F5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Add a unique database constraint on idempotency_key to correctly handle the race condition (two simultaneous requests with the same key), letting the database — not application code — be the source of truth for uniqueness.</w:t>
      </w:r>
    </w:p>
    <w:p w14:paraId="0CCE3E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Consider making idempotency_key mandatory for POST /deployments given it is a side-effecting operation, rather than optional.</w:t>
      </w:r>
    </w:p>
    <w:p w14:paraId="2EC75D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Add a test for the concurrent-request race condition once persistence with proper locking/constraints is in place.</w:t>
      </w:r>
    </w:p>
    <w:p w14:paraId="4E640AE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CED64"/>
    <w:multiLevelType w:val="multilevel"/>
    <w:tmpl w:val="8E8CED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4BF67F"/>
    <w:multiLevelType w:val="multilevel"/>
    <w:tmpl w:val="A04BF6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4F7CF0"/>
    <w:multiLevelType w:val="multilevel"/>
    <w:tmpl w:val="B74F7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029F88F"/>
    <w:multiLevelType w:val="multilevel"/>
    <w:tmpl w:val="C029F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702D2EA"/>
    <w:multiLevelType w:val="multilevel"/>
    <w:tmpl w:val="C702D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E8B4C56"/>
    <w:multiLevelType w:val="multilevel"/>
    <w:tmpl w:val="FE8B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0F8FAFC"/>
    <w:multiLevelType w:val="multilevel"/>
    <w:tmpl w:val="20F8F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F2ADDA1"/>
    <w:multiLevelType w:val="multilevel"/>
    <w:tmpl w:val="3F2AD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C22682D"/>
    <w:multiLevelType w:val="multilevel"/>
    <w:tmpl w:val="7C226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D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2026-08-21T09:33:58Z</dcterms:created>
  <dc:creator>KKK</dc:creator>
  <cp:lastModifiedBy>Kishan Kini</cp:lastModifiedBy>
  <dcterms:modified xsi:type="dcterms:W3CDTF">2026-08-21T09:34:01Z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eyJoZGlkIjoiZjVhNGJiMWVmZTg4ZjFhYWZhYWFiMzBkODkwYWRkZmUiLCJ1c2VySWQiOiI1NjczNDE4NjAwODUifQ==</vt:lpwstr>
  </property>
  <property fmtid="{D5CDD505-2E9C-101B-9397-08002B2CF9AE}" pid="4" name="ICV">
    <vt:lpwstr>0D6DB19ECF6A46AA9FDE58A115B9748F_12</vt:lpwstr>
  </property>
</Properties>
</file>