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DejaVu Sans" w:hAnsi="DejaVu Sans" w:eastAsia="DejaVu Sans"/>
          <w:b/>
          <w:i w:val="0"/>
          <w:color w:val="0B2545"/>
          <w:sz w:val="52"/>
        </w:rPr>
        <w:t>STABLE ID SPECIFICATION</w:t>
      </w:r>
    </w:p>
    <w:p>
      <w:pPr>
        <w:jc w:val="center"/>
      </w:pPr>
      <w:r>
        <w:rPr>
          <w:rFonts w:ascii="DejaVu Sans" w:hAnsi="DejaVu Sans" w:eastAsia="DejaVu Sans"/>
          <w:b w:val="0"/>
          <w:i w:val="0"/>
          <w:color w:val="2E74B5"/>
          <w:sz w:val="30"/>
        </w:rPr>
        <w:t>UE5 Data-Driven Game</w:t>
      </w:r>
    </w:p>
    <w:p>
      <w:pPr>
        <w:spacing w:before="360"/>
        <w:jc w:val="center"/>
      </w:pPr>
      <w:r>
        <w:rPr>
          <w:rFonts w:ascii="DejaVu Sans" w:hAnsi="DejaVu Sans" w:eastAsia="DejaVu Sans"/>
          <w:b w:val="0"/>
          <w:i/>
          <w:color w:val="5D6673"/>
          <w:sz w:val="21"/>
        </w:rPr>
        <w:t>Нормативная спецификация логических и runtime identifiers</w:t>
      </w:r>
    </w:p>
    <w:p>
      <w:pPr>
        <w:spacing w:after="36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200"/>
        <w:gridCol w:w="7160"/>
      </w:tblGrid>
      <w:tr>
        <w:trPr>
          <w:tblHeader w:val="true"/>
          <w:cantSplit/>
        </w:trPr>
        <w:tc>
          <w:tcPr>
            <w:tcW w:type="dxa" w:w="4680"/>
            <w:shd w:fill="E8EEF5"/>
            <w:tcW w:w="2200" w:type="dxa"/>
            <w:tcMar>
              <w:top w:w="80" w:type="dxa"/>
              <w:bottom w:w="80" w:type="dxa"/>
              <w:start w:w="120" w:type="dxa"/>
              <w:end w:w="120" w:type="dxa"/>
            </w:tcMar>
          </w:tcPr>
          <w:p>
            <w:pPr>
              <w:spacing w:after="0"/>
            </w:pPr>
            <w:r>
              <w:rPr>
                <w:rFonts w:ascii="DejaVu Sans" w:hAnsi="DejaVu Sans" w:eastAsia="DejaVu Sans"/>
                <w:b/>
                <w:i w:val="0"/>
                <w:color w:val="0B2545"/>
                <w:sz w:val="17"/>
              </w:rPr>
              <w:t>Атрибут</w:t>
            </w:r>
          </w:p>
        </w:tc>
        <w:tc>
          <w:tcPr>
            <w:tcW w:type="dxa" w:w="4680"/>
            <w:shd w:fill="E8EEF5"/>
            <w:tcW w:w="7160" w:type="dxa"/>
            <w:tcMar>
              <w:top w:w="80" w:type="dxa"/>
              <w:bottom w:w="80" w:type="dxa"/>
              <w:start w:w="120" w:type="dxa"/>
              <w:end w:w="120" w:type="dxa"/>
            </w:tcMar>
          </w:tcPr>
          <w:p>
            <w:pPr>
              <w:spacing w:after="0"/>
            </w:pPr>
            <w:r>
              <w:rPr>
                <w:rFonts w:ascii="DejaVu Sans" w:hAnsi="DejaVu Sans" w:eastAsia="DejaVu Sans"/>
                <w:b/>
                <w:i w:val="0"/>
                <w:color w:val="0B2545"/>
                <w:sz w:val="17"/>
              </w:rPr>
              <w:t>Значение</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Статус</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Approved for implementation</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Версия</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1.0</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Дата</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10 августа 2026 г.</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Базовые документы</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Архитектура проекта v2; System Context &amp; Component Map; Bootstrap &amp; Session Lifecycle Contract; Lua Runtime Contract</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Canonical form</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&lt;type&gt;.&lt;namespace&gt;.&lt;path...&gt;</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7"/>
              </w:rPr>
              <w:t>Область</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7"/>
              </w:rPr>
              <w:t>Definitions, packages, modules, local children, instances, transient/UI identity, redirects, localization и UE asset mapping</w:t>
            </w:r>
          </w:p>
        </w:tc>
      </w:tr>
    </w:tbl>
    <w:p>
      <w:pPr>
        <w:spacing w:after="0"/>
      </w:pPr>
    </w:p>
    <w:p>
      <w:pPr>
        <w:shd w:fill="DDEFE2"/>
        <w:spacing w:before="80" w:after="80"/>
        <w:ind w:left="101" w:right="101"/>
      </w:pPr>
      <w:r>
        <w:rPr>
          <w:rFonts w:ascii="DejaVu Sans" w:hAnsi="DejaVu Sans" w:eastAsia="DejaVu Sans"/>
          <w:b/>
          <w:i w:val="0"/>
          <w:color w:val="0B2545"/>
          <w:sz w:val="20"/>
        </w:rPr>
        <w:t xml:space="preserve">Главная гарантия. </w:t>
      </w:r>
      <w:r>
        <w:rPr>
          <w:rFonts w:ascii="DejaVu Sans" w:hAnsi="DejaVu Sans" w:eastAsia="DejaVu Sans"/>
          <w:b w:val="0"/>
          <w:i w:val="0"/>
          <w:color w:val="0B2545"/>
          <w:sz w:val="20"/>
        </w:rPr>
        <w:t>Stable ID описывает логическую идентичность и не зависит от filename, directory, display name, locale, load order, UE object path или memory address.</w:t>
      </w:r>
    </w:p>
    <w:p>
      <w:r>
        <w:br w:type="page"/>
      </w:r>
    </w:p>
    <w:p>
      <w:pPr>
        <w:pStyle w:val="Heading1"/>
      </w:pPr>
      <w:r>
        <w:rPr>
          <w:rFonts w:ascii="DejaVu Sans" w:hAnsi="DejaVu Sans" w:eastAsia="DejaVu Sans"/>
          <w:b/>
          <w:i w:val="0"/>
          <w:color w:val="2E74B5"/>
          <w:sz w:val="32"/>
        </w:rPr>
        <w:t>Карта документа</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1500"/>
        <w:gridCol w:w="7860"/>
      </w:tblGrid>
      <w:tr>
        <w:trPr>
          <w:tblHeader w:val="true"/>
          <w:cantSplit/>
        </w:trPr>
        <w:tc>
          <w:tcPr>
            <w:tcW w:type="dxa" w:w="4680"/>
            <w:shd w:fill="E8EEF5"/>
            <w:tcW w:w="1500" w:type="dxa"/>
            <w:tcMar>
              <w:top w:w="80" w:type="dxa"/>
              <w:bottom w:w="80" w:type="dxa"/>
              <w:start w:w="120" w:type="dxa"/>
              <w:end w:w="120" w:type="dxa"/>
            </w:tcMar>
          </w:tcPr>
          <w:p>
            <w:pPr>
              <w:spacing w:after="0"/>
            </w:pPr>
            <w:r>
              <w:rPr>
                <w:rFonts w:ascii="DejaVu Sans" w:hAnsi="DejaVu Sans" w:eastAsia="DejaVu Sans"/>
                <w:b/>
                <w:i w:val="0"/>
                <w:color w:val="0B2545"/>
                <w:sz w:val="17"/>
              </w:rPr>
              <w:t>Раздел</w:t>
            </w:r>
          </w:p>
        </w:tc>
        <w:tc>
          <w:tcPr>
            <w:tcW w:type="dxa" w:w="4680"/>
            <w:shd w:fill="E8EEF5"/>
            <w:tcW w:w="7860" w:type="dxa"/>
            <w:tcMar>
              <w:top w:w="80" w:type="dxa"/>
              <w:bottom w:w="80" w:type="dxa"/>
              <w:start w:w="120" w:type="dxa"/>
              <w:end w:w="120" w:type="dxa"/>
            </w:tcMar>
          </w:tcPr>
          <w:p>
            <w:pPr>
              <w:spacing w:after="0"/>
            </w:pPr>
            <w:r>
              <w:rPr>
                <w:rFonts w:ascii="DejaVu Sans" w:hAnsi="DejaVu Sans" w:eastAsia="DejaVu Sans"/>
                <w:b/>
                <w:i w:val="0"/>
                <w:color w:val="0B2545"/>
                <w:sz w:val="17"/>
              </w:rPr>
              <w:t>Содержание</w:t>
            </w:r>
          </w:p>
        </w:tc>
      </w:tr>
      <w:tr>
        <w:trPr>
          <w:cantSplit/>
        </w:trPr>
        <w:tc>
          <w:tcPr>
            <w:tcW w:type="dxa" w:w="4680"/>
            <w:vAlign w:val="center"/>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1–2</w:t>
            </w:r>
          </w:p>
        </w:tc>
        <w:tc>
          <w:tcPr>
            <w:tcW w:type="dxa" w:w="4680"/>
            <w:vAlign w:val="center"/>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Назначение, классы identity и нормативные инварианты.</w:t>
            </w:r>
          </w:p>
        </w:tc>
      </w:tr>
      <w:tr>
        <w:trPr>
          <w:cantSplit/>
        </w:trPr>
        <w:tc>
          <w:tcPr>
            <w:tcW w:type="dxa" w:w="4680"/>
            <w:vAlign w:val="center"/>
            <w:shd w:fill="FAFBFC"/>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3–5</w:t>
            </w:r>
          </w:p>
        </w:tc>
        <w:tc>
          <w:tcPr>
            <w:tcW w:type="dxa" w:w="4680"/>
            <w:vAlign w:val="center"/>
            <w:shd w:fill="FAFBFC"/>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Global grammar, type registry, packages и namespace ownership.</w:t>
            </w:r>
          </w:p>
        </w:tc>
      </w:tr>
      <w:tr>
        <w:trPr>
          <w:cantSplit/>
        </w:trPr>
        <w:tc>
          <w:tcPr>
            <w:tcW w:type="dxa" w:w="4680"/>
            <w:vAlign w:val="center"/>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6–8</w:t>
            </w:r>
          </w:p>
        </w:tc>
        <w:tc>
          <w:tcPr>
            <w:tcW w:type="dxa" w:w="4680"/>
            <w:vAlign w:val="center"/>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Typed references, resolution, providers и overrides.</w:t>
            </w:r>
          </w:p>
        </w:tc>
      </w:tr>
      <w:tr>
        <w:trPr>
          <w:cantSplit/>
        </w:trPr>
        <w:tc>
          <w:tcPr>
            <w:tcW w:type="dxa" w:w="4680"/>
            <w:vAlign w:val="center"/>
            <w:shd w:fill="FAFBFC"/>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9–10</w:t>
            </w:r>
          </w:p>
        </w:tc>
        <w:tc>
          <w:tcPr>
            <w:tcW w:type="dxa" w:w="4680"/>
            <w:vAlign w:val="center"/>
            <w:shd w:fill="FAFBFC"/>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Redirects, deletion, tombstones и reuse.</w:t>
            </w:r>
          </w:p>
        </w:tc>
      </w:tr>
      <w:tr>
        <w:trPr>
          <w:cantSplit/>
        </w:trPr>
        <w:tc>
          <w:tcPr>
            <w:tcW w:type="dxa" w:w="4680"/>
            <w:vAlign w:val="center"/>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11–13</w:t>
            </w:r>
          </w:p>
        </w:tc>
        <w:tc>
          <w:tcPr>
            <w:tcW w:type="dxa" w:w="4680"/>
            <w:vAlign w:val="center"/>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Local IDs, persistent instances, transient и UI identity.</w:t>
            </w:r>
          </w:p>
        </w:tc>
      </w:tr>
      <w:tr>
        <w:trPr>
          <w:cantSplit/>
        </w:trPr>
        <w:tc>
          <w:tcPr>
            <w:tcW w:type="dxa" w:w="4680"/>
            <w:vAlign w:val="center"/>
            <w:shd w:fill="FAFBFC"/>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14–15</w:t>
            </w:r>
          </w:p>
        </w:tc>
        <w:tc>
          <w:tcPr>
            <w:tcW w:type="dxa" w:w="4680"/>
            <w:vAlign w:val="center"/>
            <w:shd w:fill="FAFBFC"/>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Localization IDs и независимое UE Primary Asset mapping.</w:t>
            </w:r>
          </w:p>
        </w:tc>
      </w:tr>
      <w:tr>
        <w:trPr>
          <w:cantSplit/>
        </w:trPr>
        <w:tc>
          <w:tcPr>
            <w:tcW w:type="dxa" w:w="4680"/>
            <w:vAlign w:val="center"/>
            <w:tcW w:w="1500" w:type="dxa"/>
            <w:tcMar>
              <w:top w:w="80" w:type="dxa"/>
              <w:bottom w:w="80" w:type="dxa"/>
              <w:start w:w="120" w:type="dxa"/>
              <w:end w:w="120" w:type="dxa"/>
            </w:tcMar>
          </w:tcPr>
          <w:p>
            <w:pPr>
              <w:spacing w:after="0"/>
            </w:pPr>
            <w:r>
              <w:rPr>
                <w:rFonts w:ascii="DejaVu Sans" w:hAnsi="DejaVu Sans" w:eastAsia="DejaVu Sans"/>
                <w:b w:val="0"/>
                <w:i w:val="0"/>
                <w:color w:val="111111"/>
                <w:sz w:val="17"/>
              </w:rPr>
              <w:t>16–18</w:t>
            </w:r>
          </w:p>
        </w:tc>
        <w:tc>
          <w:tcPr>
            <w:tcW w:type="dxa" w:w="4680"/>
            <w:vAlign w:val="center"/>
            <w:tcW w:w="7860" w:type="dxa"/>
            <w:tcMar>
              <w:top w:w="80" w:type="dxa"/>
              <w:bottom w:w="80" w:type="dxa"/>
              <w:start w:w="120" w:type="dxa"/>
              <w:end w:w="120" w:type="dxa"/>
            </w:tcMar>
          </w:tcPr>
          <w:p>
            <w:pPr>
              <w:spacing w:after="0"/>
            </w:pPr>
            <w:r>
              <w:rPr>
                <w:rFonts w:ascii="DejaVu Sans" w:hAnsi="DejaVu Sans" w:eastAsia="DejaVu Sans"/>
                <w:b w:val="0"/>
                <w:i w:val="0"/>
                <w:color w:val="111111"/>
                <w:sz w:val="17"/>
              </w:rPr>
              <w:t>Exact C++/Lua API, diagnostics и conformance tests.</w:t>
            </w:r>
          </w:p>
        </w:tc>
      </w:tr>
    </w:tbl>
    <w:p>
      <w:pPr>
        <w:spacing w:after="0"/>
      </w:pPr>
    </w:p>
    <w:p>
      <w:pPr>
        <w:pStyle w:val="Heading1"/>
      </w:pPr>
      <w:r>
        <w:rPr>
          <w:rFonts w:ascii="DejaVu Sans" w:hAnsi="DejaVu Sans" w:eastAsia="DejaVu Sans"/>
          <w:b/>
          <w:i w:val="0"/>
          <w:color w:val="2E74B5"/>
          <w:sz w:val="32"/>
        </w:rPr>
        <w:t>1. Назначение и границы</w:t>
      </w:r>
    </w:p>
    <w:p>
      <w:r>
        <w:rPr>
          <w:rFonts w:ascii="DejaVu Sans" w:hAnsi="DejaVu Sans" w:eastAsia="DejaVu Sans"/>
          <w:b w:val="0"/>
          <w:i w:val="0"/>
          <w:color w:val="111111"/>
          <w:sz w:val="20"/>
        </w:rPr>
        <w:t>Спецификация определяет синтаксис, parsing, canonicalization, validation, ownership, resolution и compatibility semantics для идентификаторов, пересекающих JSON5 repository, Lua, saves, events, logs и C++ Bridge. Она является единственным нормативным источником строкового формата ID.</w:t>
      </w:r>
    </w:p>
    <w:p>
      <w:pPr>
        <w:pStyle w:val="Heading2"/>
      </w:pPr>
      <w:r>
        <w:rPr>
          <w:rFonts w:ascii="DejaVu Sans" w:hAnsi="DejaVu Sans" w:eastAsia="DejaVu Sans"/>
          <w:b/>
          <w:i w:val="0"/>
          <w:color w:val="2E74B5"/>
          <w:sz w:val="26"/>
        </w:rPr>
        <w:t>1.1 В области</w:t>
      </w:r>
    </w:p>
    <w:p>
      <w:pPr>
        <w:pStyle w:val="ListBullet"/>
      </w:pPr>
      <w:r>
        <w:rPr>
          <w:rFonts w:ascii="DejaVu Sans" w:hAnsi="DejaVu Sans" w:eastAsia="DejaVu Sans"/>
          <w:b w:val="0"/>
          <w:i w:val="0"/>
          <w:color w:val="111111"/>
          <w:sz w:val="20"/>
        </w:rPr>
        <w:t xml:space="preserve"> Global definition_id, package_id/mod_id и module_id.</w:t>
      </w:r>
    </w:p>
    <w:p>
      <w:pPr>
        <w:pStyle w:val="ListBullet"/>
      </w:pPr>
      <w:r>
        <w:rPr>
          <w:rFonts w:ascii="DejaVu Sans" w:hAnsi="DejaVu Sans" w:eastAsia="DejaVu Sans"/>
          <w:b w:val="0"/>
          <w:i w:val="0"/>
          <w:color w:val="111111"/>
          <w:sz w:val="20"/>
        </w:rPr>
        <w:t xml:space="preserve"> Typed references, provider selection, full override и provenance.</w:t>
      </w:r>
    </w:p>
    <w:p>
      <w:pPr>
        <w:pStyle w:val="ListBullet"/>
      </w:pPr>
      <w:r>
        <w:rPr>
          <w:rFonts w:ascii="DejaVu Sans" w:hAnsi="DejaVu Sans" w:eastAsia="DejaVu Sans"/>
          <w:b w:val="0"/>
          <w:i w:val="0"/>
          <w:color w:val="111111"/>
          <w:sz w:val="20"/>
        </w:rPr>
        <w:t xml:space="preserve"> Redirect registry, redirect chains, tombstones, deletion и повторное использование.</w:t>
      </w:r>
    </w:p>
    <w:p>
      <w:pPr>
        <w:pStyle w:val="ListBullet"/>
      </w:pPr>
      <w:r>
        <w:rPr>
          <w:rFonts w:ascii="DejaVu Sans" w:hAnsi="DejaVu Sans" w:eastAsia="DejaVu Sans"/>
          <w:b w:val="0"/>
          <w:i w:val="0"/>
          <w:color w:val="111111"/>
          <w:sz w:val="20"/>
        </w:rPr>
        <w:t xml:space="preserve"> Local child, persistent instance, transient runtime и UI identities.</w:t>
      </w:r>
    </w:p>
    <w:p>
      <w:pPr>
        <w:pStyle w:val="ListBullet"/>
      </w:pPr>
      <w:r>
        <w:rPr>
          <w:rFonts w:ascii="DejaVu Sans" w:hAnsi="DejaVu Sans" w:eastAsia="DejaVu Sans"/>
          <w:b w:val="0"/>
          <w:i w:val="0"/>
          <w:color w:val="111111"/>
          <w:sz w:val="20"/>
        </w:rPr>
        <w:t xml:space="preserve"> Localization text IDs и явное отображение на UE Primary Asset IDs.</w:t>
      </w:r>
    </w:p>
    <w:p>
      <w:pPr>
        <w:pStyle w:val="ListBullet"/>
      </w:pPr>
      <w:r>
        <w:rPr>
          <w:rFonts w:ascii="DejaVu Sans" w:hAnsi="DejaVu Sans" w:eastAsia="DejaVu Sans"/>
          <w:b w:val="0"/>
          <w:i w:val="0"/>
          <w:color w:val="111111"/>
          <w:sz w:val="20"/>
        </w:rPr>
        <w:t xml:space="preserve"> Exact C++ wrapper types, Lua representation, error codes и compatibility tests.</w:t>
      </w:r>
    </w:p>
    <w:p>
      <w:pPr>
        <w:pStyle w:val="Heading2"/>
      </w:pPr>
      <w:r>
        <w:rPr>
          <w:rFonts w:ascii="DejaVu Sans" w:hAnsi="DejaVu Sans" w:eastAsia="DejaVu Sans"/>
          <w:b/>
          <w:i w:val="0"/>
          <w:color w:val="2E74B5"/>
          <w:sz w:val="26"/>
        </w:rPr>
        <w:t>1.2 Вне области</w:t>
      </w:r>
    </w:p>
    <w:p>
      <w:pPr>
        <w:pStyle w:val="ListBullet"/>
      </w:pPr>
      <w:r>
        <w:rPr>
          <w:rFonts w:ascii="DejaVu Sans" w:hAnsi="DejaVu Sans" w:eastAsia="DejaVu Sans"/>
          <w:b w:val="0"/>
          <w:i w:val="0"/>
          <w:color w:val="111111"/>
          <w:sz w:val="20"/>
        </w:rPr>
        <w:t xml:space="preserve"> Содержательная schema конкретной definition type.</w:t>
      </w:r>
    </w:p>
    <w:p>
      <w:pPr>
        <w:pStyle w:val="ListBullet"/>
      </w:pPr>
      <w:r>
        <w:rPr>
          <w:rFonts w:ascii="DejaVu Sans" w:hAnsi="DejaVu Sans" w:eastAsia="DejaVu Sans"/>
          <w:b w:val="0"/>
          <w:i w:val="0"/>
          <w:color w:val="111111"/>
          <w:sz w:val="20"/>
        </w:rPr>
        <w:t xml:space="preserve"> Алгоритм выбора load priority packages; спецификация принимает resolved load order.</w:t>
      </w:r>
    </w:p>
    <w:p>
      <w:pPr>
        <w:pStyle w:val="ListBullet"/>
      </w:pPr>
      <w:r>
        <w:rPr>
          <w:rFonts w:ascii="DejaVu Sans" w:hAnsi="DejaVu Sans" w:eastAsia="DejaVu Sans"/>
          <w:b w:val="0"/>
          <w:i w:val="0"/>
          <w:color w:val="111111"/>
          <w:sz w:val="20"/>
        </w:rPr>
        <w:t xml:space="preserve"> Формат физического asset path, cooked package path и UObject lifetime.</w:t>
      </w:r>
    </w:p>
    <w:p>
      <w:pPr>
        <w:pStyle w:val="ListBullet"/>
      </w:pPr>
      <w:r>
        <w:rPr>
          <w:rFonts w:ascii="DejaVu Sans" w:hAnsi="DejaVu Sans" w:eastAsia="DejaVu Sans"/>
          <w:b w:val="0"/>
          <w:i w:val="0"/>
          <w:color w:val="111111"/>
          <w:sz w:val="20"/>
        </w:rPr>
        <w:t xml:space="preserve"> Save migrations, кроме canonicalization ID при чтении и последующей записи.</w:t>
      </w:r>
    </w:p>
    <w:p>
      <w:pPr>
        <w:pStyle w:val="Heading1"/>
      </w:pPr>
      <w:r>
        <w:rPr>
          <w:rFonts w:ascii="DejaVu Sans" w:hAnsi="DejaVu Sans" w:eastAsia="DejaVu Sans"/>
          <w:b/>
          <w:i w:val="0"/>
          <w:color w:val="2E74B5"/>
          <w:sz w:val="32"/>
        </w:rPr>
        <w:t>2. Классы identity</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1800"/>
        <w:gridCol w:w="3150"/>
        <w:gridCol w:w="4410"/>
      </w:tblGrid>
      <w:tr>
        <w:trPr>
          <w:tblHeader w:val="true"/>
          <w:cantSplit/>
        </w:trPr>
        <w:tc>
          <w:tcPr>
            <w:tcW w:type="dxa" w:w="3120"/>
            <w:shd w:fill="E8EEF5"/>
            <w:tcW w:w="1800" w:type="dxa"/>
            <w:tcMar>
              <w:top w:w="80" w:type="dxa"/>
              <w:bottom w:w="80" w:type="dxa"/>
              <w:start w:w="120" w:type="dxa"/>
              <w:end w:w="120" w:type="dxa"/>
            </w:tcMar>
          </w:tcPr>
          <w:p>
            <w:pPr>
              <w:spacing w:after="0"/>
            </w:pPr>
            <w:r>
              <w:rPr>
                <w:rFonts w:ascii="DejaVu Sans" w:hAnsi="DejaVu Sans" w:eastAsia="DejaVu Sans"/>
                <w:b/>
                <w:i w:val="0"/>
                <w:color w:val="0B2545"/>
                <w:sz w:val="15"/>
              </w:rPr>
              <w:t>Класс</w:t>
            </w:r>
          </w:p>
        </w:tc>
        <w:tc>
          <w:tcPr>
            <w:tcW w:type="dxa" w:w="3120"/>
            <w:shd w:fill="E8EEF5"/>
            <w:tcW w:w="3150" w:type="dxa"/>
            <w:tcMar>
              <w:top w:w="80" w:type="dxa"/>
              <w:bottom w:w="80" w:type="dxa"/>
              <w:start w:w="120" w:type="dxa"/>
              <w:end w:w="120" w:type="dxa"/>
            </w:tcMar>
          </w:tcPr>
          <w:p>
            <w:pPr>
              <w:spacing w:after="0"/>
            </w:pPr>
            <w:r>
              <w:rPr>
                <w:rFonts w:ascii="DejaVu Sans" w:hAnsi="DejaVu Sans" w:eastAsia="DejaVu Sans"/>
                <w:b/>
                <w:i w:val="0"/>
                <w:color w:val="0B2545"/>
                <w:sz w:val="15"/>
              </w:rPr>
              <w:t>Пример</w:t>
            </w:r>
          </w:p>
        </w:tc>
        <w:tc>
          <w:tcPr>
            <w:tcW w:type="dxa" w:w="3120"/>
            <w:shd w:fill="E8EEF5"/>
            <w:tcW w:w="4410" w:type="dxa"/>
            <w:tcMar>
              <w:top w:w="80" w:type="dxa"/>
              <w:bottom w:w="80" w:type="dxa"/>
              <w:start w:w="120" w:type="dxa"/>
              <w:end w:w="120" w:type="dxa"/>
            </w:tcMar>
          </w:tcPr>
          <w:p>
            <w:pPr>
              <w:spacing w:after="0"/>
            </w:pPr>
            <w:r>
              <w:rPr>
                <w:rFonts w:ascii="DejaVu Sans" w:hAnsi="DejaVu Sans" w:eastAsia="DejaVu Sans"/>
                <w:b/>
                <w:i w:val="0"/>
                <w:color w:val="0B2545"/>
                <w:sz w:val="15"/>
              </w:rPr>
              <w:t>Scope / lifetime</w:t>
            </w:r>
          </w:p>
        </w:tc>
      </w:tr>
      <w:tr>
        <w:trPr>
          <w:cantSplit/>
        </w:trPr>
        <w:tc>
          <w:tcPr>
            <w:tcW w:type="dxa" w:w="3120"/>
            <w:vAlign w:val="center"/>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definition_id</w:t>
            </w:r>
          </w:p>
        </w:tc>
        <w:tc>
          <w:tcPr>
            <w:tcW w:type="dxa" w:w="3120"/>
            <w:vAlign w:val="center"/>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item.core.weapon.iron_sword</w:t>
            </w:r>
          </w:p>
        </w:tc>
        <w:tc>
          <w:tcPr>
            <w:tcW w:type="dxa" w:w="3120"/>
            <w:vAlign w:val="center"/>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Глобальный logical registry; сохраняется.</w:t>
            </w:r>
          </w:p>
        </w:tc>
      </w:tr>
      <w:tr>
        <w:trPr>
          <w:cantSplit/>
        </w:trPr>
        <w:tc>
          <w:tcPr>
            <w:tcW w:type="dxa" w:w="3120"/>
            <w:vAlign w:val="center"/>
            <w:shd w:fill="FAFBFC"/>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text_id</w:t>
            </w:r>
          </w:p>
        </w:tc>
        <w:tc>
          <w:tcPr>
            <w:tcW w:type="dxa" w:w="3120"/>
            <w:vAlign w:val="center"/>
            <w:shd w:fill="FAFBFC"/>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text.core.ui.inventory.title</w:t>
            </w:r>
          </w:p>
        </w:tc>
        <w:tc>
          <w:tcPr>
            <w:tcW w:type="dxa" w:w="3120"/>
            <w:vAlign w:val="center"/>
            <w:shd w:fill="FAFBFC"/>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Definition ID ожидаемого type text; сохраняется/локализуется.</w:t>
            </w:r>
          </w:p>
        </w:tc>
      </w:tr>
      <w:tr>
        <w:trPr>
          <w:cantSplit/>
        </w:trPr>
        <w:tc>
          <w:tcPr>
            <w:tcW w:type="dxa" w:w="3120"/>
            <w:vAlign w:val="center"/>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package_id / namespace</w:t>
            </w:r>
          </w:p>
        </w:tc>
        <w:tc>
          <w:tcPr>
            <w:tcW w:type="dxa" w:w="3120"/>
            <w:vAlign w:val="center"/>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core, arena_expansion</w:t>
            </w:r>
          </w:p>
        </w:tc>
        <w:tc>
          <w:tcPr>
            <w:tcW w:type="dxa" w:w="3120"/>
            <w:vAlign w:val="center"/>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Package manifest и ownership новых definitions.</w:t>
            </w:r>
          </w:p>
        </w:tc>
      </w:tr>
      <w:tr>
        <w:trPr>
          <w:cantSplit/>
        </w:trPr>
        <w:tc>
          <w:tcPr>
            <w:tcW w:type="dxa" w:w="3120"/>
            <w:vAlign w:val="center"/>
            <w:shd w:fill="FAFBFC"/>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module_id</w:t>
            </w:r>
          </w:p>
        </w:tc>
        <w:tc>
          <w:tcPr>
            <w:tcW w:type="dxa" w:w="3120"/>
            <w:vAlign w:val="center"/>
            <w:shd w:fill="FAFBFC"/>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arena_expansion.race_rules</w:t>
            </w:r>
          </w:p>
        </w:tc>
        <w:tc>
          <w:tcPr>
            <w:tcW w:type="dxa" w:w="3120"/>
            <w:vAlign w:val="center"/>
            <w:shd w:fill="FAFBFC"/>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Resolved Lua module graph; не является definition_id.</w:t>
            </w:r>
          </w:p>
        </w:tc>
      </w:tr>
      <w:tr>
        <w:trPr>
          <w:cantSplit/>
        </w:trPr>
        <w:tc>
          <w:tcPr>
            <w:tcW w:type="dxa" w:w="3120"/>
            <w:vAlign w:val="center"/>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local child ID</w:t>
            </w:r>
          </w:p>
        </w:tc>
        <w:tc>
          <w:tcPr>
            <w:tcW w:type="dxa" w:w="3120"/>
            <w:vAlign w:val="center"/>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quest.core.main#stage.intro</w:t>
            </w:r>
          </w:p>
        </w:tc>
        <w:tc>
          <w:tcPr>
            <w:tcW w:type="dxa" w:w="3120"/>
            <w:vAlign w:val="center"/>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Уникален внутри owner definition; может сохраняться целиком.</w:t>
            </w:r>
          </w:p>
        </w:tc>
      </w:tr>
      <w:tr>
        <w:trPr>
          <w:cantSplit/>
        </w:trPr>
        <w:tc>
          <w:tcPr>
            <w:tcW w:type="dxa" w:w="3120"/>
            <w:vAlign w:val="center"/>
            <w:shd w:fill="FAFBFC"/>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instance_id</w:t>
            </w:r>
          </w:p>
        </w:tc>
        <w:tc>
          <w:tcPr>
            <w:tcW w:type="dxa" w:w="3120"/>
            <w:vAlign w:val="center"/>
            <w:shd w:fill="FAFBFC"/>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item@42</w:t>
            </w:r>
          </w:p>
        </w:tc>
        <w:tc>
          <w:tcPr>
            <w:tcW w:type="dxa" w:w="3120"/>
            <w:vAlign w:val="center"/>
            <w:shd w:fill="FAFBFC"/>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Один save lineage; persistent; никогда не переиспользуется.</w:t>
            </w:r>
          </w:p>
        </w:tc>
      </w:tr>
      <w:tr>
        <w:trPr>
          <w:cantSplit/>
        </w:trPr>
        <w:tc>
          <w:tcPr>
            <w:tcW w:type="dxa" w:w="3120"/>
            <w:vAlign w:val="center"/>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transient_id</w:t>
            </w:r>
          </w:p>
        </w:tc>
        <w:tc>
          <w:tcPr>
            <w:tcW w:type="dxa" w:w="3120"/>
            <w:vAlign w:val="center"/>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runtime@17:204</w:t>
            </w:r>
          </w:p>
        </w:tc>
        <w:tc>
          <w:tcPr>
            <w:tcW w:type="dxa" w:w="3120"/>
            <w:vAlign w:val="center"/>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Session generation + counter; не сохраняется.</w:t>
            </w:r>
          </w:p>
        </w:tc>
      </w:tr>
      <w:tr>
        <w:trPr>
          <w:cantSplit/>
        </w:trPr>
        <w:tc>
          <w:tcPr>
            <w:tcW w:type="dxa" w:w="3120"/>
            <w:vAlign w:val="center"/>
            <w:shd w:fill="FAFBFC"/>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ui_element_id</w:t>
            </w:r>
          </w:p>
        </w:tc>
        <w:tc>
          <w:tcPr>
            <w:tcW w:type="dxa" w:w="3120"/>
            <w:vAlign w:val="center"/>
            <w:shd w:fill="FAFBFC"/>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screen.core.shop#widget.buy_button</w:t>
            </w:r>
          </w:p>
        </w:tc>
        <w:tc>
          <w:tcPr>
            <w:tcW w:type="dxa" w:w="3120"/>
            <w:vAlign w:val="center"/>
            <w:shd w:fill="FAFBFC"/>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Identity элемента presentation tree; local либо transient composition.</w:t>
            </w:r>
          </w:p>
        </w:tc>
      </w:tr>
      <w:tr>
        <w:trPr>
          <w:cantSplit/>
        </w:trPr>
        <w:tc>
          <w:tcPr>
            <w:tcW w:type="dxa" w:w="3120"/>
            <w:vAlign w:val="center"/>
            <w:tcW w:w="1800" w:type="dxa"/>
            <w:tcMar>
              <w:top w:w="80" w:type="dxa"/>
              <w:bottom w:w="80" w:type="dxa"/>
              <w:start w:w="120" w:type="dxa"/>
              <w:end w:w="120" w:type="dxa"/>
            </w:tcMar>
          </w:tcPr>
          <w:p>
            <w:pPr>
              <w:spacing w:after="0"/>
            </w:pPr>
            <w:r>
              <w:rPr>
                <w:rFonts w:ascii="DejaVu Sans" w:hAnsi="DejaVu Sans" w:eastAsia="DejaVu Sans"/>
                <w:b w:val="0"/>
                <w:i w:val="0"/>
                <w:color w:val="111111"/>
                <w:sz w:val="15"/>
              </w:rPr>
              <w:t>UE Primary Asset ID</w:t>
            </w:r>
          </w:p>
        </w:tc>
        <w:tc>
          <w:tcPr>
            <w:tcW w:type="dxa" w:w="3120"/>
            <w:vAlign w:val="center"/>
            <w:tcW w:w="3150" w:type="dxa"/>
            <w:tcMar>
              <w:top w:w="80" w:type="dxa"/>
              <w:bottom w:w="80" w:type="dxa"/>
              <w:start w:w="120" w:type="dxa"/>
              <w:end w:w="120" w:type="dxa"/>
            </w:tcMar>
          </w:tcPr>
          <w:p>
            <w:pPr>
              <w:spacing w:after="0"/>
            </w:pPr>
            <w:r>
              <w:rPr>
                <w:rFonts w:ascii="DejaVu Sans" w:hAnsi="DejaVu Sans" w:eastAsia="DejaVu Sans"/>
                <w:b w:val="0"/>
                <w:i w:val="0"/>
                <w:color w:val="111111"/>
                <w:sz w:val="15"/>
              </w:rPr>
              <w:t>Item:IronSword</w:t>
            </w:r>
          </w:p>
        </w:tc>
        <w:tc>
          <w:tcPr>
            <w:tcW w:type="dxa" w:w="3120"/>
            <w:vAlign w:val="center"/>
            <w:tcW w:w="4410" w:type="dxa"/>
            <w:tcMar>
              <w:top w:w="80" w:type="dxa"/>
              <w:bottom w:w="80" w:type="dxa"/>
              <w:start w:w="120" w:type="dxa"/>
              <w:end w:w="120" w:type="dxa"/>
            </w:tcMar>
          </w:tcPr>
          <w:p>
            <w:pPr>
              <w:spacing w:after="0"/>
            </w:pPr>
            <w:r>
              <w:rPr>
                <w:rFonts w:ascii="DejaVu Sans" w:hAnsi="DejaVu Sans" w:eastAsia="DejaVu Sans"/>
                <w:b w:val="0"/>
                <w:i w:val="0"/>
                <w:color w:val="111111"/>
                <w:sz w:val="15"/>
              </w:rPr>
              <w:t>Независимый UE identifier; только явное mapping.</w:t>
            </w:r>
          </w:p>
        </w:tc>
      </w:tr>
    </w:tbl>
    <w:p>
      <w:pPr>
        <w:spacing w:after="0"/>
      </w:pPr>
    </w:p>
    <w:p>
      <w:pPr>
        <w:pStyle w:val="Heading2"/>
      </w:pPr>
      <w:r>
        <w:rPr>
          <w:rFonts w:ascii="DejaVu Sans" w:hAnsi="DejaVu Sans" w:eastAsia="DejaVu Sans"/>
          <w:b/>
          <w:i w:val="0"/>
          <w:color w:val="2E74B5"/>
          <w:sz w:val="26"/>
        </w:rPr>
        <w:t>2.1 Нормативные инварианты</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1050"/>
        <w:gridCol w:w="8310"/>
      </w:tblGrid>
      <w:tr>
        <w:trPr>
          <w:tblHeader w:val="true"/>
          <w:cantSplit/>
        </w:trPr>
        <w:tc>
          <w:tcPr>
            <w:tcW w:type="dxa" w:w="4680"/>
            <w:shd w:fill="E8EEF5"/>
            <w:tcW w:w="1050" w:type="dxa"/>
            <w:tcMar>
              <w:top w:w="80" w:type="dxa"/>
              <w:bottom w:w="80" w:type="dxa"/>
              <w:start w:w="120" w:type="dxa"/>
              <w:end w:w="120" w:type="dxa"/>
            </w:tcMar>
          </w:tcPr>
          <w:p>
            <w:pPr>
              <w:spacing w:after="0"/>
            </w:pPr>
            <w:r>
              <w:rPr>
                <w:rFonts w:ascii="DejaVu Sans" w:hAnsi="DejaVu Sans" w:eastAsia="DejaVu Sans"/>
                <w:b/>
                <w:i w:val="0"/>
                <w:color w:val="0B2545"/>
                <w:sz w:val="16"/>
              </w:rPr>
              <w:t>ID</w:t>
            </w:r>
          </w:p>
        </w:tc>
        <w:tc>
          <w:tcPr>
            <w:tcW w:type="dxa" w:w="4680"/>
            <w:shd w:fill="E8EEF5"/>
            <w:tcW w:w="831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SID-01</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global ID имеет не менее трёх segments: type, namespace и один или более path segments.</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SID-02</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representation содержит только lowercase ASCII; comparison и hashing выполняются по canonical bytes.</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SID-03</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Parser MAY trim outer whitespace и lowercase ASCII input; иных исправлений не выполняет.</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SID-04</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Новые definitions package создаёт только в собственном canonical namespace.</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SID-05</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Чужой ID допустим только как override уже существующей definition.</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SID-06</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Required references разрешаются до publication candidate repository.</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SID-07</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Redirect source не может одновременно быть active definition.</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SID-08</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Redirect chain не имеет artificial depth limit, но cycle всегда fatal.</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SID-09</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Удалённый published ID MAY быть немедленно переиспользован с сознательной потерей semantic compatibility.</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SID-10</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definition_id, instance_id, transient_id и UE Primary Asset ID не взаимозаменяемы.</w:t>
            </w:r>
          </w:p>
        </w:tc>
      </w:tr>
      <w:tr>
        <w:trPr>
          <w:cantSplit/>
        </w:trPr>
        <w:tc>
          <w:tcPr>
            <w:tcW w:type="dxa" w:w="4680"/>
            <w:vAlign w:val="center"/>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SID-11</w:t>
            </w:r>
          </w:p>
        </w:tc>
        <w:tc>
          <w:tcPr>
            <w:tcW w:type="dxa" w:w="4680"/>
            <w:vAlign w:val="center"/>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Даже singleton хранит отдельные definition_id и instance_id.</w:t>
            </w:r>
          </w:p>
        </w:tc>
      </w:tr>
      <w:tr>
        <w:trPr>
          <w:cantSplit/>
        </w:trPr>
        <w:tc>
          <w:tcPr>
            <w:tcW w:type="dxa" w:w="4680"/>
            <w:vAlign w:val="center"/>
            <w:shd w:fill="FAFBFC"/>
            <w:tcW w:w="1050" w:type="dxa"/>
            <w:tcMar>
              <w:top w:w="80" w:type="dxa"/>
              <w:bottom w:w="80" w:type="dxa"/>
              <w:start w:w="120" w:type="dxa"/>
              <w:end w:w="120" w:type="dxa"/>
            </w:tcMar>
          </w:tcPr>
          <w:p>
            <w:pPr>
              <w:spacing w:after="0"/>
            </w:pPr>
            <w:r>
              <w:rPr>
                <w:rFonts w:ascii="DejaVu Sans" w:hAnsi="DejaVu Sans" w:eastAsia="DejaVu Sans"/>
                <w:b w:val="0"/>
                <w:i w:val="0"/>
                <w:color w:val="111111"/>
                <w:sz w:val="16"/>
              </w:rPr>
              <w:t>SID-12</w:t>
            </w:r>
          </w:p>
        </w:tc>
        <w:tc>
          <w:tcPr>
            <w:tcW w:type="dxa" w:w="4680"/>
            <w:vAlign w:val="center"/>
            <w:shd w:fill="FAFBFC"/>
            <w:tcW w:w="8310" w:type="dxa"/>
            <w:tcMar>
              <w:top w:w="80" w:type="dxa"/>
              <w:bottom w:w="80" w:type="dxa"/>
              <w:start w:w="120" w:type="dxa"/>
              <w:end w:w="120" w:type="dxa"/>
            </w:tcMar>
          </w:tcPr>
          <w:p>
            <w:pPr>
              <w:spacing w:after="0"/>
            </w:pPr>
            <w:r>
              <w:rPr>
                <w:rFonts w:ascii="DejaVu Sans" w:hAnsi="DejaVu Sans" w:eastAsia="DejaVu Sans"/>
                <w:b w:val="0"/>
                <w:i w:val="0"/>
                <w:color w:val="111111"/>
                <w:sz w:val="16"/>
              </w:rPr>
              <w:t>Lua видит canonical strings; validation/resolution выполняет host API.</w:t>
            </w:r>
          </w:p>
        </w:tc>
      </w:tr>
    </w:tbl>
    <w:p>
      <w:pPr>
        <w:spacing w:after="0"/>
      </w:pPr>
    </w:p>
    <w:p>
      <w:r>
        <w:br w:type="page"/>
      </w:r>
    </w:p>
    <w:p>
      <w:pPr>
        <w:pStyle w:val="Heading1"/>
      </w:pPr>
      <w:r>
        <w:rPr>
          <w:rFonts w:ascii="DejaVu Sans" w:hAnsi="DejaVu Sans" w:eastAsia="DejaVu Sans"/>
          <w:b/>
          <w:i w:val="0"/>
          <w:color w:val="2E74B5"/>
          <w:sz w:val="32"/>
        </w:rPr>
        <w:t>3. Global definition ID grammar</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definition-id = segment "." segment "." segment *("." segment)</w:t>
            </w:r>
            <w:r>
              <w:br/>
            </w:r>
            <w:r>
              <w:rPr>
                <w:rFonts w:ascii="DejaVu Sans Mono" w:hAnsi="DejaVu Sans Mono" w:eastAsia="DejaVu Sans Mono"/>
                <w:b w:val="0"/>
                <w:i w:val="0"/>
                <w:color w:val="0B2545"/>
                <w:sz w:val="15"/>
              </w:rPr>
              <w:t xml:space="preserve">                 ; type . namespace . path...</w:t>
            </w:r>
            <w:r>
              <w:br/>
            </w:r>
            <w:r>
              <w:rPr>
                <w:rFonts w:ascii="DejaVu Sans Mono" w:hAnsi="DejaVu Sans Mono" w:eastAsia="DejaVu Sans Mono"/>
                <w:b w:val="0"/>
                <w:i w:val="0"/>
                <w:color w:val="0B2545"/>
                <w:sz w:val="15"/>
              </w:rPr>
              <w:t>segment       = lowercase-alpha *(lowercase-alpha / digit / "_")</w:t>
            </w:r>
            <w:r>
              <w:br/>
            </w:r>
            <w:r>
              <w:rPr>
                <w:rFonts w:ascii="DejaVu Sans Mono" w:hAnsi="DejaVu Sans Mono" w:eastAsia="DejaVu Sans Mono"/>
                <w:b w:val="0"/>
                <w:i w:val="0"/>
                <w:color w:val="0B2545"/>
                <w:sz w:val="15"/>
              </w:rPr>
              <w:t>lowercase-alpha = %x61-7A</w:t>
            </w:r>
            <w:r>
              <w:br/>
            </w:r>
            <w:r>
              <w:rPr>
                <w:rFonts w:ascii="DejaVu Sans Mono" w:hAnsi="DejaVu Sans Mono" w:eastAsia="DejaVu Sans Mono"/>
                <w:b w:val="0"/>
                <w:i w:val="0"/>
                <w:color w:val="0B2545"/>
                <w:sz w:val="15"/>
              </w:rPr>
              <w:t>digit         = %x30-39</w:t>
            </w:r>
            <w:r>
              <w:br/>
            </w:r>
            <w:r>
              <w:rPr>
                <w:rFonts w:ascii="DejaVu Sans Mono" w:hAnsi="DejaVu Sans Mono" w:eastAsia="DejaVu Sans Mono"/>
                <w:b w:val="0"/>
                <w:i w:val="0"/>
                <w:color w:val="0B2545"/>
                <w:sz w:val="15"/>
              </w:rPr>
            </w:r>
            <w:r>
              <w:br/>
            </w:r>
            <w:r>
              <w:rPr>
                <w:rFonts w:ascii="DejaVu Sans Mono" w:hAnsi="DejaVu Sans Mono" w:eastAsia="DejaVu Sans Mono"/>
                <w:b w:val="0"/>
                <w:i w:val="0"/>
                <w:color w:val="0B2545"/>
                <w:sz w:val="15"/>
              </w:rPr>
              <w:t>segment length: 1..64 ASCII characters</w:t>
            </w:r>
            <w:r>
              <w:br/>
            </w:r>
            <w:r>
              <w:rPr>
                <w:rFonts w:ascii="DejaVu Sans Mono" w:hAnsi="DejaVu Sans Mono" w:eastAsia="DejaVu Sans Mono"/>
                <w:b w:val="0"/>
                <w:i w:val="0"/>
                <w:color w:val="0B2545"/>
                <w:sz w:val="15"/>
              </w:rPr>
              <w:t>canonical full length: 5..192 ASCII characters</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750"/>
        <w:gridCol w:w="2950"/>
        <w:gridCol w:w="3660"/>
      </w:tblGrid>
      <w:tr>
        <w:trPr>
          <w:tblHeader w:val="true"/>
          <w:cantSplit/>
        </w:trPr>
        <w:tc>
          <w:tcPr>
            <w:tcW w:type="dxa" w:w="3120"/>
            <w:shd w:fill="E8EEF5"/>
            <w:tcW w:w="2750" w:type="dxa"/>
            <w:tcMar>
              <w:top w:w="80" w:type="dxa"/>
              <w:bottom w:w="80" w:type="dxa"/>
              <w:start w:w="120" w:type="dxa"/>
              <w:end w:w="120" w:type="dxa"/>
            </w:tcMar>
          </w:tcPr>
          <w:p>
            <w:pPr>
              <w:spacing w:after="0"/>
            </w:pPr>
            <w:r>
              <w:rPr>
                <w:rFonts w:ascii="DejaVu Sans" w:hAnsi="DejaVu Sans" w:eastAsia="DejaVu Sans"/>
                <w:b/>
                <w:i w:val="0"/>
                <w:color w:val="0B2545"/>
                <w:sz w:val="16"/>
              </w:rPr>
              <w:t>Input</w:t>
            </w:r>
          </w:p>
        </w:tc>
        <w:tc>
          <w:tcPr>
            <w:tcW w:type="dxa" w:w="3120"/>
            <w:shd w:fill="E8EEF5"/>
            <w:tcW w:w="2950" w:type="dxa"/>
            <w:tcMar>
              <w:top w:w="80" w:type="dxa"/>
              <w:bottom w:w="80" w:type="dxa"/>
              <w:start w:w="120" w:type="dxa"/>
              <w:end w:w="120" w:type="dxa"/>
            </w:tcMar>
          </w:tcPr>
          <w:p>
            <w:pPr>
              <w:spacing w:after="0"/>
            </w:pPr>
            <w:r>
              <w:rPr>
                <w:rFonts w:ascii="DejaVu Sans" w:hAnsi="DejaVu Sans" w:eastAsia="DejaVu Sans"/>
                <w:b/>
                <w:i w:val="0"/>
                <w:color w:val="0B2545"/>
                <w:sz w:val="16"/>
              </w:rPr>
              <w:t>Результат</w:t>
            </w:r>
          </w:p>
        </w:tc>
        <w:tc>
          <w:tcPr>
            <w:tcW w:type="dxa" w:w="3120"/>
            <w:shd w:fill="E8EEF5"/>
            <w:tcW w:w="3660" w:type="dxa"/>
            <w:tcMar>
              <w:top w:w="80" w:type="dxa"/>
              <w:bottom w:w="80" w:type="dxa"/>
              <w:start w:w="120" w:type="dxa"/>
              <w:end w:w="120" w:type="dxa"/>
            </w:tcMar>
          </w:tcPr>
          <w:p>
            <w:pPr>
              <w:spacing w:after="0"/>
            </w:pPr>
            <w:r>
              <w:rPr>
                <w:rFonts w:ascii="DejaVu Sans" w:hAnsi="DejaVu Sans" w:eastAsia="DejaVu Sans"/>
                <w:b/>
                <w:i w:val="0"/>
                <w:color w:val="0B2545"/>
                <w:sz w:val="16"/>
              </w:rPr>
              <w:t>Причина</w:t>
            </w:r>
          </w:p>
        </w:tc>
      </w:tr>
      <w:tr>
        <w:trPr>
          <w:cantSplit/>
        </w:trPr>
        <w:tc>
          <w:tcPr>
            <w:tcW w:type="dxa" w:w="3120"/>
            <w:vAlign w:val="center"/>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item.core.sword</w:t>
            </w:r>
          </w:p>
        </w:tc>
        <w:tc>
          <w:tcPr>
            <w:tcW w:type="dxa" w:w="3120"/>
            <w:vAlign w:val="center"/>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item.core.sword</w:t>
            </w:r>
          </w:p>
        </w:tc>
        <w:tc>
          <w:tcPr>
            <w:tcW w:type="dxa" w:w="3120"/>
            <w:vAlign w:val="center"/>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Минимальные три segments.</w:t>
            </w:r>
          </w:p>
        </w:tc>
      </w:tr>
      <w:tr>
        <w:trPr>
          <w:cantSplit/>
        </w:trPr>
        <w:tc>
          <w:tcPr>
            <w:tcW w:type="dxa" w:w="3120"/>
            <w:vAlign w:val="center"/>
            <w:shd w:fill="FAFBFC"/>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item.core.weapon.iron_sword</w:t>
            </w:r>
          </w:p>
        </w:tc>
        <w:tc>
          <w:tcPr>
            <w:tcW w:type="dxa" w:w="3120"/>
            <w:vAlign w:val="center"/>
            <w:shd w:fill="FAFBFC"/>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item.core.weapon.iron_sword</w:t>
            </w:r>
          </w:p>
        </w:tc>
        <w:tc>
          <w:tcPr>
            <w:tcW w:type="dxa" w:w="3120"/>
            <w:vAlign w:val="center"/>
            <w:shd w:fill="FAFBFC"/>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Иерархический path.</w:t>
            </w:r>
          </w:p>
        </w:tc>
      </w:tr>
      <w:tr>
        <w:trPr>
          <w:cantSplit/>
        </w:trPr>
        <w:tc>
          <w:tcPr>
            <w:tcW w:type="dxa" w:w="3120"/>
            <w:vAlign w:val="center"/>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 xml:space="preserve"> Item.Core.Sword </w:t>
            </w:r>
          </w:p>
        </w:tc>
        <w:tc>
          <w:tcPr>
            <w:tcW w:type="dxa" w:w="3120"/>
            <w:vAlign w:val="center"/>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item.core.sword</w:t>
            </w:r>
          </w:p>
        </w:tc>
        <w:tc>
          <w:tcPr>
            <w:tcW w:type="dxa" w:w="3120"/>
            <w:vAlign w:val="center"/>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Outer trim + ASCII lowercase.</w:t>
            </w:r>
          </w:p>
        </w:tc>
      </w:tr>
      <w:tr>
        <w:trPr>
          <w:cantSplit/>
        </w:trPr>
        <w:tc>
          <w:tcPr>
            <w:tcW w:type="dxa" w:w="3120"/>
            <w:vAlign w:val="center"/>
            <w:shd w:fill="FAFBFC"/>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item.core.iron-sword</w:t>
            </w:r>
          </w:p>
        </w:tc>
        <w:tc>
          <w:tcPr>
            <w:tcW w:type="dxa" w:w="3120"/>
            <w:vAlign w:val="center"/>
            <w:shd w:fill="FAFBFC"/>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InvalidCharacter</w:t>
            </w:r>
          </w:p>
        </w:tc>
        <w:tc>
          <w:tcPr>
            <w:tcW w:type="dxa" w:w="3120"/>
            <w:vAlign w:val="center"/>
            <w:shd w:fill="FAFBFC"/>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Hyphen запрещён.</w:t>
            </w:r>
          </w:p>
        </w:tc>
      </w:tr>
      <w:tr>
        <w:trPr>
          <w:cantSplit/>
        </w:trPr>
        <w:tc>
          <w:tcPr>
            <w:tcW w:type="dxa" w:w="3120"/>
            <w:vAlign w:val="center"/>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item..sword</w:t>
            </w:r>
          </w:p>
        </w:tc>
        <w:tc>
          <w:tcPr>
            <w:tcW w:type="dxa" w:w="3120"/>
            <w:vAlign w:val="center"/>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EmptySegment</w:t>
            </w:r>
          </w:p>
        </w:tc>
        <w:tc>
          <w:tcPr>
            <w:tcW w:type="dxa" w:w="3120"/>
            <w:vAlign w:val="center"/>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Пустой segment.</w:t>
            </w:r>
          </w:p>
        </w:tc>
      </w:tr>
      <w:tr>
        <w:trPr>
          <w:cantSplit/>
        </w:trPr>
        <w:tc>
          <w:tcPr>
            <w:tcW w:type="dxa" w:w="3120"/>
            <w:vAlign w:val="center"/>
            <w:shd w:fill="FAFBFC"/>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w:t>
            </w:r>
          </w:p>
        </w:tc>
        <w:tc>
          <w:tcPr>
            <w:tcW w:type="dxa" w:w="3120"/>
            <w:vAlign w:val="center"/>
            <w:shd w:fill="FAFBFC"/>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TooFewSegments</w:t>
            </w:r>
          </w:p>
        </w:tc>
        <w:tc>
          <w:tcPr>
            <w:tcW w:type="dxa" w:w="3120"/>
            <w:vAlign w:val="center"/>
            <w:shd w:fill="FAFBFC"/>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Нет path segment.</w:t>
            </w:r>
          </w:p>
        </w:tc>
      </w:tr>
      <w:tr>
        <w:trPr>
          <w:cantSplit/>
        </w:trPr>
        <w:tc>
          <w:tcPr>
            <w:tcW w:type="dxa" w:w="3120"/>
            <w:vAlign w:val="center"/>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1item.core.sword</w:t>
            </w:r>
          </w:p>
        </w:tc>
        <w:tc>
          <w:tcPr>
            <w:tcW w:type="dxa" w:w="3120"/>
            <w:vAlign w:val="center"/>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InvalidSegmentStart</w:t>
            </w:r>
          </w:p>
        </w:tc>
        <w:tc>
          <w:tcPr>
            <w:tcW w:type="dxa" w:w="3120"/>
            <w:vAlign w:val="center"/>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Segment начинается только с a–z.</w:t>
            </w:r>
          </w:p>
        </w:tc>
      </w:tr>
      <w:tr>
        <w:trPr>
          <w:cantSplit/>
        </w:trPr>
        <w:tc>
          <w:tcPr>
            <w:tcW w:type="dxa" w:w="3120"/>
            <w:vAlign w:val="center"/>
            <w:shd w:fill="FAFBFC"/>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item.cøre.sword</w:t>
            </w:r>
          </w:p>
        </w:tc>
        <w:tc>
          <w:tcPr>
            <w:tcW w:type="dxa" w:w="3120"/>
            <w:vAlign w:val="center"/>
            <w:shd w:fill="FAFBFC"/>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NonAscii</w:t>
            </w:r>
          </w:p>
        </w:tc>
        <w:tc>
          <w:tcPr>
            <w:tcW w:type="dxa" w:w="3120"/>
            <w:vAlign w:val="center"/>
            <w:shd w:fill="FAFBFC"/>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Unicode запрещён.</w:t>
            </w:r>
          </w:p>
        </w:tc>
      </w:tr>
      <w:tr>
        <w:trPr>
          <w:cantSplit/>
        </w:trPr>
        <w:tc>
          <w:tcPr>
            <w:tcW w:type="dxa" w:w="3120"/>
            <w:vAlign w:val="center"/>
            <w:tcW w:w="2750" w:type="dxa"/>
            <w:tcMar>
              <w:top w:w="80" w:type="dxa"/>
              <w:bottom w:w="80" w:type="dxa"/>
              <w:start w:w="120" w:type="dxa"/>
              <w:end w:w="120" w:type="dxa"/>
            </w:tcMar>
          </w:tcPr>
          <w:p>
            <w:pPr>
              <w:spacing w:after="0"/>
            </w:pPr>
            <w:r>
              <w:rPr>
                <w:rFonts w:ascii="DejaVu Sans" w:hAnsi="DejaVu Sans" w:eastAsia="DejaVu Sans"/>
                <w:b w:val="0"/>
                <w:i w:val="0"/>
                <w:color w:val="111111"/>
                <w:sz w:val="16"/>
              </w:rPr>
              <w:t>item.core.sword.</w:t>
            </w:r>
          </w:p>
        </w:tc>
        <w:tc>
          <w:tcPr>
            <w:tcW w:type="dxa" w:w="3120"/>
            <w:vAlign w:val="center"/>
            <w:tcW w:w="2950" w:type="dxa"/>
            <w:tcMar>
              <w:top w:w="80" w:type="dxa"/>
              <w:bottom w:w="80" w:type="dxa"/>
              <w:start w:w="120" w:type="dxa"/>
              <w:end w:w="120" w:type="dxa"/>
            </w:tcMar>
          </w:tcPr>
          <w:p>
            <w:pPr>
              <w:spacing w:after="0"/>
            </w:pPr>
            <w:r>
              <w:rPr>
                <w:rFonts w:ascii="DejaVu Sans" w:hAnsi="DejaVu Sans" w:eastAsia="DejaVu Sans"/>
                <w:b w:val="0"/>
                <w:i w:val="0"/>
                <w:color w:val="111111"/>
                <w:sz w:val="16"/>
              </w:rPr>
              <w:t>EmptySegment</w:t>
            </w:r>
          </w:p>
        </w:tc>
        <w:tc>
          <w:tcPr>
            <w:tcW w:type="dxa" w:w="3120"/>
            <w:vAlign w:val="center"/>
            <w:tcW w:w="3660" w:type="dxa"/>
            <w:tcMar>
              <w:top w:w="80" w:type="dxa"/>
              <w:bottom w:w="80" w:type="dxa"/>
              <w:start w:w="120" w:type="dxa"/>
              <w:end w:w="120" w:type="dxa"/>
            </w:tcMar>
          </w:tcPr>
          <w:p>
            <w:pPr>
              <w:spacing w:after="0"/>
            </w:pPr>
            <w:r>
              <w:rPr>
                <w:rFonts w:ascii="DejaVu Sans" w:hAnsi="DejaVu Sans" w:eastAsia="DejaVu Sans"/>
                <w:b w:val="0"/>
                <w:i w:val="0"/>
                <w:color w:val="111111"/>
                <w:sz w:val="16"/>
              </w:rPr>
              <w:t>Trailing dot не исправляется.</w:t>
            </w:r>
          </w:p>
        </w:tc>
      </w:tr>
    </w:tbl>
    <w:p>
      <w:pPr>
        <w:spacing w:after="0"/>
      </w:pPr>
    </w:p>
    <w:p>
      <w:pPr>
        <w:pStyle w:val="Heading2"/>
      </w:pPr>
      <w:r>
        <w:rPr>
          <w:rFonts w:ascii="DejaVu Sans" w:hAnsi="DejaVu Sans" w:eastAsia="DejaVu Sans"/>
          <w:b/>
          <w:i w:val="0"/>
          <w:color w:val="2E74B5"/>
          <w:sz w:val="26"/>
        </w:rPr>
        <w:t>3.1 Canonicalization</w:t>
      </w:r>
    </w:p>
    <w:p>
      <w:r>
        <w:rPr>
          <w:rFonts w:ascii="DejaVu Sans" w:hAnsi="DejaVu Sans" w:eastAsia="DejaVu Sans"/>
          <w:b w:val="0"/>
          <w:i w:val="0"/>
          <w:color w:val="111111"/>
          <w:sz w:val="20"/>
        </w:rPr>
        <w:t>CanonicalizeDefinitionId(input) выполняет ровно две операции: удаляет leading/trailing ASCII whitespace и приводит ASCII A–Z к lowercase. После этого строка валидируется целиком. Internal whitespace, Unicode case folding, punctuation replacement, dot collapsing и transliteration запрещены.</w:t>
      </w:r>
    </w:p>
    <w:p>
      <w:pPr>
        <w:shd w:fill="F8E9C7"/>
        <w:spacing w:before="80" w:after="80"/>
        <w:ind w:left="101" w:right="101"/>
      </w:pPr>
      <w:r>
        <w:rPr>
          <w:rFonts w:ascii="DejaVu Sans" w:hAnsi="DejaVu Sans" w:eastAsia="DejaVu Sans"/>
          <w:b/>
          <w:i w:val="0"/>
          <w:color w:val="0B2545"/>
          <w:sz w:val="20"/>
        </w:rPr>
        <w:t xml:space="preserve">Case semantics. </w:t>
      </w:r>
      <w:r>
        <w:rPr>
          <w:rFonts w:ascii="DejaVu Sans" w:hAnsi="DejaVu Sans" w:eastAsia="DejaVu Sans"/>
          <w:b w:val="0"/>
          <w:i w:val="0"/>
          <w:color w:val="0B2545"/>
          <w:sz w:val="20"/>
        </w:rPr>
        <w:t>Input comparison фактически case-insensitive только благодаря обязательной canonicalization. Registry никогда не хранит исходный регистр; Item.Core.Sword и item.core.sword коллидируют как один canonical ID.</w:t>
      </w:r>
    </w:p>
    <w:p>
      <w:pPr>
        <w:pStyle w:val="Heading2"/>
      </w:pPr>
      <w:r>
        <w:rPr>
          <w:rFonts w:ascii="DejaVu Sans" w:hAnsi="DejaVu Sans" w:eastAsia="DejaVu Sans"/>
          <w:b/>
          <w:i w:val="0"/>
          <w:color w:val="2E74B5"/>
          <w:sz w:val="26"/>
        </w:rPr>
        <w:t>3.2 Segment roles</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1700"/>
        <w:gridCol w:w="4950"/>
        <w:gridCol w:w="2710"/>
      </w:tblGrid>
      <w:tr>
        <w:trPr>
          <w:tblHeader w:val="true"/>
          <w:cantSplit/>
        </w:trPr>
        <w:tc>
          <w:tcPr>
            <w:tcW w:type="dxa" w:w="3120"/>
            <w:shd w:fill="E8EEF5"/>
            <w:tcW w:w="1700" w:type="dxa"/>
            <w:tcMar>
              <w:top w:w="80" w:type="dxa"/>
              <w:bottom w:w="80" w:type="dxa"/>
              <w:start w:w="120" w:type="dxa"/>
              <w:end w:w="120" w:type="dxa"/>
            </w:tcMar>
          </w:tcPr>
          <w:p>
            <w:pPr>
              <w:spacing w:after="0"/>
            </w:pPr>
            <w:r>
              <w:rPr>
                <w:rFonts w:ascii="DejaVu Sans" w:hAnsi="DejaVu Sans" w:eastAsia="DejaVu Sans"/>
                <w:b/>
                <w:i w:val="0"/>
                <w:color w:val="0B2545"/>
                <w:sz w:val="16"/>
              </w:rPr>
              <w:t>Позиция</w:t>
            </w:r>
          </w:p>
        </w:tc>
        <w:tc>
          <w:tcPr>
            <w:tcW w:type="dxa" w:w="3120"/>
            <w:shd w:fill="E8EEF5"/>
            <w:tcW w:w="4950" w:type="dxa"/>
            <w:tcMar>
              <w:top w:w="80" w:type="dxa"/>
              <w:bottom w:w="80" w:type="dxa"/>
              <w:start w:w="120" w:type="dxa"/>
              <w:end w:w="120" w:type="dxa"/>
            </w:tcMar>
          </w:tcPr>
          <w:p>
            <w:pPr>
              <w:spacing w:after="0"/>
            </w:pPr>
            <w:r>
              <w:rPr>
                <w:rFonts w:ascii="DejaVu Sans" w:hAnsi="DejaVu Sans" w:eastAsia="DejaVu Sans"/>
                <w:b/>
                <w:i w:val="0"/>
                <w:color w:val="0B2545"/>
                <w:sz w:val="16"/>
              </w:rPr>
              <w:t>Семантика</w:t>
            </w:r>
          </w:p>
        </w:tc>
        <w:tc>
          <w:tcPr>
            <w:tcW w:type="dxa" w:w="3120"/>
            <w:shd w:fill="E8EEF5"/>
            <w:tcW w:w="2710" w:type="dxa"/>
            <w:tcMar>
              <w:top w:w="80" w:type="dxa"/>
              <w:bottom w:w="80" w:type="dxa"/>
              <w:start w:w="120" w:type="dxa"/>
              <w:end w:w="120" w:type="dxa"/>
            </w:tcMar>
          </w:tcPr>
          <w:p>
            <w:pPr>
              <w:spacing w:after="0"/>
            </w:pPr>
            <w:r>
              <w:rPr>
                <w:rFonts w:ascii="DejaVu Sans" w:hAnsi="DejaVu Sans" w:eastAsia="DejaVu Sans"/>
                <w:b/>
                <w:i w:val="0"/>
                <w:color w:val="0B2545"/>
                <w:sz w:val="16"/>
              </w:rPr>
              <w:t>Пример</w:t>
            </w:r>
          </w:p>
        </w:tc>
      </w:tr>
      <w:tr>
        <w:trPr>
          <w:cantSplit/>
        </w:trPr>
        <w:tc>
          <w:tcPr>
            <w:tcW w:type="dxa" w:w="3120"/>
            <w:vAlign w:val="center"/>
            <w:tcW w:w="1700" w:type="dxa"/>
            <w:tcMar>
              <w:top w:w="80" w:type="dxa"/>
              <w:bottom w:w="80" w:type="dxa"/>
              <w:start w:w="120" w:type="dxa"/>
              <w:end w:w="120" w:type="dxa"/>
            </w:tcMar>
          </w:tcPr>
          <w:p>
            <w:pPr>
              <w:spacing w:after="0"/>
            </w:pPr>
            <w:r>
              <w:rPr>
                <w:rFonts w:ascii="DejaVu Sans" w:hAnsi="DejaVu Sans" w:eastAsia="DejaVu Sans"/>
                <w:b w:val="0"/>
                <w:i w:val="0"/>
                <w:color w:val="111111"/>
                <w:sz w:val="16"/>
              </w:rPr>
              <w:t>1: type</w:t>
            </w:r>
          </w:p>
        </w:tc>
        <w:tc>
          <w:tcPr>
            <w:tcW w:type="dxa" w:w="3120"/>
            <w:vAlign w:val="center"/>
            <w:tcW w:w="4950" w:type="dxa"/>
            <w:tcMar>
              <w:top w:w="80" w:type="dxa"/>
              <w:bottom w:w="80" w:type="dxa"/>
              <w:start w:w="120" w:type="dxa"/>
              <w:end w:w="120" w:type="dxa"/>
            </w:tcMar>
          </w:tcPr>
          <w:p>
            <w:pPr>
              <w:spacing w:after="0"/>
            </w:pPr>
            <w:r>
              <w:rPr>
                <w:rFonts w:ascii="DejaVu Sans" w:hAnsi="DejaVu Sans" w:eastAsia="DejaVu Sans"/>
                <w:b w:val="0"/>
                <w:i w:val="0"/>
                <w:color w:val="111111"/>
                <w:sz w:val="16"/>
              </w:rPr>
              <w:t>Definition family и primary runtime discriminator.</w:t>
            </w:r>
          </w:p>
        </w:tc>
        <w:tc>
          <w:tcPr>
            <w:tcW w:type="dxa" w:w="3120"/>
            <w:vAlign w:val="center"/>
            <w:tcW w:w="2710" w:type="dxa"/>
            <w:tcMar>
              <w:top w:w="80" w:type="dxa"/>
              <w:bottom w:w="80" w:type="dxa"/>
              <w:start w:w="120" w:type="dxa"/>
              <w:end w:w="120" w:type="dxa"/>
            </w:tcMar>
          </w:tcPr>
          <w:p>
            <w:pPr>
              <w:spacing w:after="0"/>
            </w:pPr>
            <w:r>
              <w:rPr>
                <w:rFonts w:ascii="DejaVu Sans" w:hAnsi="DejaVu Sans" w:eastAsia="DejaVu Sans"/>
                <w:b w:val="0"/>
                <w:i w:val="0"/>
                <w:color w:val="111111"/>
                <w:sz w:val="16"/>
              </w:rPr>
              <w:t>item</w:t>
            </w:r>
          </w:p>
        </w:tc>
      </w:tr>
      <w:tr>
        <w:trPr>
          <w:cantSplit/>
        </w:trPr>
        <w:tc>
          <w:tcPr>
            <w:tcW w:type="dxa" w:w="3120"/>
            <w:vAlign w:val="center"/>
            <w:shd w:fill="FAFBFC"/>
            <w:tcW w:w="1700" w:type="dxa"/>
            <w:tcMar>
              <w:top w:w="80" w:type="dxa"/>
              <w:bottom w:w="80" w:type="dxa"/>
              <w:start w:w="120" w:type="dxa"/>
              <w:end w:w="120" w:type="dxa"/>
            </w:tcMar>
          </w:tcPr>
          <w:p>
            <w:pPr>
              <w:spacing w:after="0"/>
            </w:pPr>
            <w:r>
              <w:rPr>
                <w:rFonts w:ascii="DejaVu Sans" w:hAnsi="DejaVu Sans" w:eastAsia="DejaVu Sans"/>
                <w:b w:val="0"/>
                <w:i w:val="0"/>
                <w:color w:val="111111"/>
                <w:sz w:val="16"/>
              </w:rPr>
              <w:t>2: namespace</w:t>
            </w:r>
          </w:p>
        </w:tc>
        <w:tc>
          <w:tcPr>
            <w:tcW w:type="dxa" w:w="3120"/>
            <w:vAlign w:val="center"/>
            <w:shd w:fill="FAFBFC"/>
            <w:tcW w:w="495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package ownership для новой definition.</w:t>
            </w:r>
          </w:p>
        </w:tc>
        <w:tc>
          <w:tcPr>
            <w:tcW w:type="dxa" w:w="3120"/>
            <w:vAlign w:val="center"/>
            <w:shd w:fill="FAFBFC"/>
            <w:tcW w:w="2710" w:type="dxa"/>
            <w:tcMar>
              <w:top w:w="80" w:type="dxa"/>
              <w:bottom w:w="80" w:type="dxa"/>
              <w:start w:w="120" w:type="dxa"/>
              <w:end w:w="120" w:type="dxa"/>
            </w:tcMar>
          </w:tcPr>
          <w:p>
            <w:pPr>
              <w:spacing w:after="0"/>
            </w:pPr>
            <w:r>
              <w:rPr>
                <w:rFonts w:ascii="DejaVu Sans" w:hAnsi="DejaVu Sans" w:eastAsia="DejaVu Sans"/>
                <w:b w:val="0"/>
                <w:i w:val="0"/>
                <w:color w:val="111111"/>
                <w:sz w:val="16"/>
              </w:rPr>
              <w:t>core</w:t>
            </w:r>
          </w:p>
        </w:tc>
      </w:tr>
      <w:tr>
        <w:trPr>
          <w:cantSplit/>
        </w:trPr>
        <w:tc>
          <w:tcPr>
            <w:tcW w:type="dxa" w:w="3120"/>
            <w:vAlign w:val="center"/>
            <w:tcW w:w="1700" w:type="dxa"/>
            <w:tcMar>
              <w:top w:w="80" w:type="dxa"/>
              <w:bottom w:w="80" w:type="dxa"/>
              <w:start w:w="120" w:type="dxa"/>
              <w:end w:w="120" w:type="dxa"/>
            </w:tcMar>
          </w:tcPr>
          <w:p>
            <w:pPr>
              <w:spacing w:after="0"/>
            </w:pPr>
            <w:r>
              <w:rPr>
                <w:rFonts w:ascii="DejaVu Sans" w:hAnsi="DejaVu Sans" w:eastAsia="DejaVu Sans"/>
                <w:b w:val="0"/>
                <w:i w:val="0"/>
                <w:color w:val="111111"/>
                <w:sz w:val="16"/>
              </w:rPr>
              <w:t>3..N: path</w:t>
            </w:r>
          </w:p>
        </w:tc>
        <w:tc>
          <w:tcPr>
            <w:tcW w:type="dxa" w:w="3120"/>
            <w:vAlign w:val="center"/>
            <w:tcW w:w="4950" w:type="dxa"/>
            <w:tcMar>
              <w:top w:w="80" w:type="dxa"/>
              <w:bottom w:w="80" w:type="dxa"/>
              <w:start w:w="120" w:type="dxa"/>
              <w:end w:w="120" w:type="dxa"/>
            </w:tcMar>
          </w:tcPr>
          <w:p>
            <w:pPr>
              <w:spacing w:after="0"/>
            </w:pPr>
            <w:r>
              <w:rPr>
                <w:rFonts w:ascii="DejaVu Sans" w:hAnsi="DejaVu Sans" w:eastAsia="DejaVu Sans"/>
                <w:b w:val="0"/>
                <w:i w:val="0"/>
                <w:color w:val="111111"/>
                <w:sz w:val="16"/>
              </w:rPr>
              <w:t>Иерархическое логическое имя; структура не связана с directories.</w:t>
            </w:r>
          </w:p>
        </w:tc>
        <w:tc>
          <w:tcPr>
            <w:tcW w:type="dxa" w:w="3120"/>
            <w:vAlign w:val="center"/>
            <w:tcW w:w="2710" w:type="dxa"/>
            <w:tcMar>
              <w:top w:w="80" w:type="dxa"/>
              <w:bottom w:w="80" w:type="dxa"/>
              <w:start w:w="120" w:type="dxa"/>
              <w:end w:w="120" w:type="dxa"/>
            </w:tcMar>
          </w:tcPr>
          <w:p>
            <w:pPr>
              <w:spacing w:after="0"/>
            </w:pPr>
            <w:r>
              <w:rPr>
                <w:rFonts w:ascii="DejaVu Sans" w:hAnsi="DejaVu Sans" w:eastAsia="DejaVu Sans"/>
                <w:b w:val="0"/>
                <w:i w:val="0"/>
                <w:color w:val="111111"/>
                <w:sz w:val="16"/>
              </w:rPr>
              <w:t>weapon.iron_sword</w:t>
            </w:r>
          </w:p>
        </w:tc>
      </w:tr>
    </w:tbl>
    <w:p>
      <w:pPr>
        <w:spacing w:after="0"/>
      </w:pPr>
    </w:p>
    <w:p>
      <w:pPr>
        <w:pStyle w:val="Heading1"/>
      </w:pPr>
      <w:r>
        <w:rPr>
          <w:rFonts w:ascii="DejaVu Sans" w:hAnsi="DejaVu Sans" w:eastAsia="DejaVu Sans"/>
          <w:b/>
          <w:i w:val="0"/>
          <w:color w:val="2E74B5"/>
          <w:sz w:val="32"/>
        </w:rPr>
        <w:t>4. Type registry</w:t>
      </w:r>
    </w:p>
    <w:p>
      <w:r>
        <w:rPr>
          <w:rFonts w:ascii="DejaVu Sans" w:hAnsi="DejaVu Sans" w:eastAsia="DejaVu Sans"/>
          <w:b w:val="0"/>
          <w:i w:val="0"/>
          <w:color w:val="111111"/>
          <w:sz w:val="20"/>
        </w:rPr>
        <w:t>StableTypeRegistry является открытым registry. Любой синтаксически корректный type разрешён и автоматически появляется при первой definition этого type. Отдельное manifest declaration не требуется.</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200"/>
        <w:gridCol w:w="7160"/>
      </w:tblGrid>
      <w:tr>
        <w:trPr>
          <w:tblHeader w:val="true"/>
          <w:cantSplit/>
        </w:trPr>
        <w:tc>
          <w:tcPr>
            <w:tcW w:type="dxa" w:w="4680"/>
            <w:shd w:fill="E8EEF5"/>
            <w:tcW w:w="220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c>
          <w:tcPr>
            <w:tcW w:type="dxa" w:w="4680"/>
            <w:shd w:fill="E8EEF5"/>
            <w:tcW w:w="7160" w:type="dxa"/>
            <w:tcMar>
              <w:top w:w="80" w:type="dxa"/>
              <w:bottom w:w="80" w:type="dxa"/>
              <w:start w:w="120" w:type="dxa"/>
              <w:end w:w="120" w:type="dxa"/>
            </w:tcMar>
          </w:tcPr>
          <w:p>
            <w:pPr>
              <w:spacing w:after="0"/>
            </w:pPr>
            <w:r>
              <w:rPr>
                <w:rFonts w:ascii="DejaVu Sans" w:hAnsi="DejaVu Sans" w:eastAsia="DejaVu Sans"/>
                <w:b/>
                <w:i w:val="0"/>
                <w:color w:val="0B2545"/>
                <w:sz w:val="16"/>
              </w:rPr>
              <w:t>Нормативная семантика</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Creation</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Первый accepted definition с новым type создаёт registry entry.</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Schema binding</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Definition loader/schema registry связывает type с schema до validation объекта.</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Unknown type in reference</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Если type ещё не создан ни одной candidate definition и не зарегистрирован loader, ссылка получает UnknownType.</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Collision</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Одинаковая строка type обозначает одну family; несовместимые schema registrations дают TypeSchemaConflict.</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Removal</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Type registry entry MAY исчезнуть, если candidate repository не содержит type; saves разрешаются против текущего snapshot.</w:t>
            </w:r>
          </w:p>
        </w:tc>
      </w:tr>
    </w:tbl>
    <w:p>
      <w:pPr>
        <w:spacing w:after="0"/>
      </w:pPr>
    </w:p>
    <w:p>
      <w:pPr>
        <w:shd w:fill="DDEFE2"/>
        <w:spacing w:before="80" w:after="80"/>
        <w:ind w:left="101" w:right="101"/>
      </w:pPr>
      <w:r>
        <w:rPr>
          <w:rFonts w:ascii="DejaVu Sans" w:hAnsi="DejaVu Sans" w:eastAsia="DejaVu Sans"/>
          <w:b/>
          <w:i w:val="0"/>
          <w:color w:val="0B2545"/>
          <w:sz w:val="20"/>
        </w:rPr>
        <w:t xml:space="preserve">Отличие от closed registry. </w:t>
      </w:r>
      <w:r>
        <w:rPr>
          <w:rFonts w:ascii="DejaVu Sans" w:hAnsi="DejaVu Sans" w:eastAsia="DejaVu Sans"/>
          <w:b w:val="0"/>
          <w:i w:val="0"/>
          <w:color w:val="0B2545"/>
          <w:sz w:val="20"/>
        </w:rPr>
        <w:t>Мод может ввести новый type без изменения core. Это не позволяет ему создавать новый ID в чужом namespace и не отменяет schema validation.</w:t>
      </w:r>
    </w:p>
    <w:p>
      <w:pPr>
        <w:pStyle w:val="Heading1"/>
      </w:pPr>
      <w:r>
        <w:rPr>
          <w:rFonts w:ascii="DejaVu Sans" w:hAnsi="DejaVu Sans" w:eastAsia="DejaVu Sans"/>
          <w:b/>
          <w:i w:val="0"/>
          <w:color w:val="2E74B5"/>
          <w:sz w:val="32"/>
        </w:rPr>
        <w:t>5. Package, namespace и module IDs</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package-id = segment</w:t>
            </w:r>
            <w:r>
              <w:br/>
            </w:r>
            <w:r>
              <w:rPr>
                <w:rFonts w:ascii="DejaVu Sans Mono" w:hAnsi="DejaVu Sans Mono" w:eastAsia="DejaVu Sans Mono"/>
                <w:b w:val="0"/>
                <w:i w:val="0"/>
                <w:color w:val="0B2545"/>
                <w:sz w:val="15"/>
              </w:rPr>
              <w:t>namespace  = package-id</w:t>
            </w:r>
            <w:r>
              <w:br/>
            </w:r>
            <w:r>
              <w:rPr>
                <w:rFonts w:ascii="DejaVu Sans Mono" w:hAnsi="DejaVu Sans Mono" w:eastAsia="DejaVu Sans Mono"/>
                <w:b w:val="0"/>
                <w:i w:val="0"/>
                <w:color w:val="0B2545"/>
                <w:sz w:val="15"/>
              </w:rPr>
              <w:t>module-id  = package-id "." segment *("." segment)</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500"/>
        <w:gridCol w:w="6860"/>
      </w:tblGrid>
      <w:tr>
        <w:trPr>
          <w:tblHeader w:val="true"/>
          <w:cantSplit/>
        </w:trPr>
        <w:tc>
          <w:tcPr>
            <w:tcW w:type="dxa" w:w="4680"/>
            <w:shd w:fill="E8EEF5"/>
            <w:tcW w:w="2500" w:type="dxa"/>
            <w:tcMar>
              <w:top w:w="80" w:type="dxa"/>
              <w:bottom w:w="80" w:type="dxa"/>
              <w:start w:w="120" w:type="dxa"/>
              <w:end w:w="120" w:type="dxa"/>
            </w:tcMar>
          </w:tcPr>
          <w:p>
            <w:pPr>
              <w:spacing w:after="0"/>
            </w:pPr>
            <w:r>
              <w:rPr>
                <w:rFonts w:ascii="DejaVu Sans" w:hAnsi="DejaVu Sans" w:eastAsia="DejaVu Sans"/>
                <w:b/>
                <w:i w:val="0"/>
                <w:color w:val="0B2545"/>
                <w:sz w:val="16"/>
              </w:rPr>
              <w:t>ID</w:t>
            </w:r>
          </w:p>
        </w:tc>
        <w:tc>
          <w:tcPr>
            <w:tcW w:type="dxa" w:w="4680"/>
            <w:shd w:fill="E8EEF5"/>
            <w:tcW w:w="686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package_id / mod_id</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Один lowercase identifier; после trim/lowercase проходит segment grammar.</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namespace</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Ровно один на package и равен package_id.</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module_id</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Иерархический ID Lua module; первый segment — package_id.</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reserved namespaces</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core, engine, runtime, system; мод не может объявить их package_id/namespace.</w:t>
            </w:r>
          </w:p>
        </w:tc>
      </w:tr>
    </w:tbl>
    <w:p>
      <w:pPr>
        <w:spacing w:after="0"/>
      </w:pPr>
    </w:p>
    <w:p>
      <w:pPr>
        <w:pStyle w:val="Heading2"/>
      </w:pPr>
      <w:r>
        <w:rPr>
          <w:rFonts w:ascii="DejaVu Sans" w:hAnsi="DejaVu Sans" w:eastAsia="DejaVu Sans"/>
          <w:b/>
          <w:i w:val="0"/>
          <w:color w:val="2E74B5"/>
          <w:sz w:val="26"/>
        </w:rPr>
        <w:t>5.1 Namespace ownership</w:t>
      </w:r>
    </w:p>
    <w:p>
      <w:pPr>
        <w:pStyle w:val="ListBullet"/>
        <w:spacing w:after="40"/>
      </w:pPr>
      <w:r>
        <w:rPr>
          <w:rFonts w:ascii="DejaVu Sans" w:hAnsi="DejaVu Sans" w:eastAsia="DejaVu Sans"/>
          <w:b w:val="0"/>
          <w:i w:val="0"/>
          <w:color w:val="111111"/>
          <w:sz w:val="20"/>
        </w:rPr>
        <w:t xml:space="preserve"> Package MAY добавить новый definition_id только если namespace segment равен его package_id.</w:t>
      </w:r>
    </w:p>
    <w:p>
      <w:pPr>
        <w:pStyle w:val="ListBullet"/>
        <w:spacing w:after="40"/>
      </w:pPr>
      <w:r>
        <w:rPr>
          <w:rFonts w:ascii="DejaVu Sans" w:hAnsi="DejaVu Sans" w:eastAsia="DejaVu Sans"/>
          <w:b w:val="0"/>
          <w:i w:val="0"/>
          <w:color w:val="111111"/>
          <w:sz w:val="20"/>
        </w:rPr>
        <w:t xml:space="preserve"> Package MAY предоставить definition в чужом namespace только если такой ID уже существует у более раннего provider; это full override.</w:t>
      </w:r>
    </w:p>
    <w:p>
      <w:pPr>
        <w:pStyle w:val="ListBullet"/>
        <w:spacing w:after="40"/>
      </w:pPr>
      <w:r>
        <w:rPr>
          <w:rFonts w:ascii="DejaVu Sans" w:hAnsi="DejaVu Sans" w:eastAsia="DejaVu Sans"/>
          <w:b w:val="0"/>
          <w:i w:val="0"/>
          <w:color w:val="111111"/>
          <w:sz w:val="20"/>
        </w:rPr>
        <w:t xml:space="preserve"> Попытка создать несуществующий чужой ID возвращает ForeignNamespaceNewId.</w:t>
      </w:r>
    </w:p>
    <w:p>
      <w:pPr>
        <w:pStyle w:val="ListBullet"/>
        <w:spacing w:after="40"/>
      </w:pPr>
      <w:r>
        <w:rPr>
          <w:rFonts w:ascii="DejaVu Sans" w:hAnsi="DejaVu Sans" w:eastAsia="DejaVu Sans"/>
          <w:b w:val="0"/>
          <w:i w:val="0"/>
          <w:color w:val="111111"/>
          <w:sz w:val="20"/>
        </w:rPr>
        <w:t xml:space="preserve"> Core/engine/runtime/system definitions могут быть overridden поздним package, но reserved namespace не переходит к нему во владение.</w:t>
      </w:r>
    </w:p>
    <w:p>
      <w:pPr>
        <w:pStyle w:val="Heading1"/>
      </w:pPr>
      <w:r>
        <w:rPr>
          <w:rFonts w:ascii="DejaVu Sans" w:hAnsi="DejaVu Sans" w:eastAsia="DejaVu Sans"/>
          <w:b/>
          <w:i w:val="0"/>
          <w:color w:val="2E74B5"/>
          <w:sz w:val="32"/>
        </w:rPr>
        <w:t>6. Typed references</w:t>
      </w:r>
    </w:p>
    <w:p>
      <w:r>
        <w:rPr>
          <w:rFonts w:ascii="DejaVu Sans" w:hAnsi="DejaVu Sans" w:eastAsia="DejaVu Sans"/>
          <w:b w:val="0"/>
          <w:i w:val="0"/>
          <w:color w:val="111111"/>
          <w:sz w:val="20"/>
        </w:rPr>
        <w:t>В JSON5, saves и Lua typed reference хранится как canonical string. Expected type задаётся schema поля или signature API; отдельный объект {type, id} не используется.</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w:t>
            </w:r>
            <w:r>
              <w:br/>
            </w:r>
            <w:r>
              <w:rPr>
                <w:rFonts w:ascii="DejaVu Sans Mono" w:hAnsi="DejaVu Sans Mono" w:eastAsia="DejaVu Sans Mono"/>
                <w:b w:val="0"/>
                <w:i w:val="0"/>
                <w:color w:val="0B2545"/>
                <w:sz w:val="15"/>
              </w:rPr>
              <w:t xml:space="preserve">  "equipped_weapon": "item.core.weapon.iron_sword",</w:t>
            </w:r>
            <w:r>
              <w:br/>
            </w:r>
            <w:r>
              <w:rPr>
                <w:rFonts w:ascii="DejaVu Sans Mono" w:hAnsi="DejaVu Sans Mono" w:eastAsia="DejaVu Sans Mono"/>
                <w:b w:val="0"/>
                <w:i w:val="0"/>
                <w:color w:val="0B2545"/>
                <w:sz w:val="15"/>
              </w:rPr>
              <w:t xml:space="preserve">  "arrival_text": "text.core.location.harbor.arrival"</w:t>
            </w:r>
            <w:r>
              <w:br/>
            </w:r>
            <w:r>
              <w:rPr>
                <w:rFonts w:ascii="DejaVu Sans Mono" w:hAnsi="DejaVu Sans Mono" w:eastAsia="DejaVu Sans Mono"/>
                <w:b w:val="0"/>
                <w:i w:val="0"/>
                <w:color w:val="0B2545"/>
                <w:sz w:val="15"/>
              </w:rPr>
              <w:t>}</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200"/>
        <w:gridCol w:w="7160"/>
      </w:tblGrid>
      <w:tr>
        <w:trPr>
          <w:tblHeader w:val="true"/>
          <w:cantSplit/>
        </w:trPr>
        <w:tc>
          <w:tcPr>
            <w:tcW w:type="dxa" w:w="4680"/>
            <w:shd w:fill="E8EEF5"/>
            <w:tcW w:w="2200" w:type="dxa"/>
            <w:tcMar>
              <w:top w:w="80" w:type="dxa"/>
              <w:bottom w:w="80" w:type="dxa"/>
              <w:start w:w="120" w:type="dxa"/>
              <w:end w:w="120" w:type="dxa"/>
            </w:tcMar>
          </w:tcPr>
          <w:p>
            <w:pPr>
              <w:spacing w:after="0"/>
            </w:pPr>
            <w:r>
              <w:rPr>
                <w:rFonts w:ascii="DejaVu Sans" w:hAnsi="DejaVu Sans" w:eastAsia="DejaVu Sans"/>
                <w:b/>
                <w:i w:val="0"/>
                <w:color w:val="0B2545"/>
                <w:sz w:val="16"/>
              </w:rPr>
              <w:t>Проверка</w:t>
            </w:r>
          </w:p>
        </w:tc>
        <w:tc>
          <w:tcPr>
            <w:tcW w:type="dxa" w:w="4680"/>
            <w:shd w:fill="E8EEF5"/>
            <w:tcW w:w="716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Syntax</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Любая непустая reference сначала canonicalized и parsed как full definition_id.</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Full form</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Short IDs запрещены во внешних данных, saves, Lua API и logs.</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Expected type</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Первый segment обязан совпасть с schema expected type.</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Existence</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Required reference должна разрешиться в active definition candidate snapshot.</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Optionality</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Задаётся schema; отсутствие поля или game.null означает no reference.</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Malformed optional</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Не превращается в empty/nil; всегда validation error.</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String "none"</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Обычная строка и почти всегда invalid ID; universal null marker отсутствует.</w:t>
            </w:r>
          </w:p>
        </w:tc>
      </w:tr>
    </w:tbl>
    <w:p>
      <w:pPr>
        <w:spacing w:after="0"/>
      </w:pPr>
    </w:p>
    <w:p>
      <w:pPr>
        <w:pStyle w:val="Heading2"/>
      </w:pPr>
      <w:r>
        <w:rPr>
          <w:rFonts w:ascii="DejaVu Sans" w:hAnsi="DejaVu Sans" w:eastAsia="DejaVu Sans"/>
          <w:b/>
          <w:i w:val="0"/>
          <w:color w:val="2E74B5"/>
          <w:sz w:val="26"/>
        </w:rPr>
        <w:t>6.1 Resolution time</w:t>
      </w:r>
    </w:p>
    <w:p>
      <w:pPr>
        <w:pStyle w:val="ListBullet"/>
      </w:pPr>
      <w:r>
        <w:rPr>
          <w:rFonts w:ascii="DejaVu Sans" w:hAnsi="DejaVu Sans" w:eastAsia="DejaVu Sans"/>
          <w:b w:val="0"/>
          <w:i w:val="0"/>
          <w:color w:val="111111"/>
          <w:sz w:val="20"/>
        </w:rPr>
        <w:t xml:space="preserve"> Все required references resolve при построении candidate repository.</w:t>
      </w:r>
    </w:p>
    <w:p>
      <w:pPr>
        <w:pStyle w:val="ListBullet"/>
      </w:pPr>
      <w:r>
        <w:rPr>
          <w:rFonts w:ascii="DejaVu Sans" w:hAnsi="DejaVu Sans" w:eastAsia="DejaVu Sans"/>
          <w:b w:val="0"/>
          <w:i w:val="0"/>
          <w:color w:val="111111"/>
          <w:sz w:val="20"/>
        </w:rPr>
        <w:t xml:space="preserve"> Broken, type-mismatched, disabled или cyclically redirected reference блокирует publication snapshot.</w:t>
      </w:r>
    </w:p>
    <w:p>
      <w:pPr>
        <w:pStyle w:val="ListBullet"/>
      </w:pPr>
      <w:r>
        <w:rPr>
          <w:rFonts w:ascii="DejaVu Sans" w:hAnsi="DejaVu Sans" w:eastAsia="DejaVu Sans"/>
          <w:b w:val="0"/>
          <w:i w:val="0"/>
          <w:color w:val="111111"/>
          <w:sz w:val="20"/>
        </w:rPr>
        <w:t xml:space="preserve"> Optional reference проверяется так же, если значение присутствует и не равно game.null.</w:t>
      </w:r>
    </w:p>
    <w:p>
      <w:pPr>
        <w:pStyle w:val="ListBullet"/>
      </w:pPr>
      <w:r>
        <w:rPr>
          <w:rFonts w:ascii="DejaVu Sans" w:hAnsi="DejaVu Sans" w:eastAsia="DejaVu Sans"/>
          <w:b w:val="0"/>
          <w:i w:val="0"/>
          <w:color w:val="111111"/>
          <w:sz w:val="20"/>
        </w:rPr>
        <w:t xml:space="preserve"> Runtime lookup повторно использует immutable indexes published snapshot и не делает filesystem search.</w:t>
      </w:r>
    </w:p>
    <w:p>
      <w:pPr>
        <w:pStyle w:val="Heading1"/>
      </w:pPr>
      <w:r>
        <w:rPr>
          <w:rFonts w:ascii="DejaVu Sans" w:hAnsi="DejaVu Sans" w:eastAsia="DejaVu Sans"/>
          <w:b/>
          <w:i w:val="0"/>
          <w:color w:val="2E74B5"/>
          <w:sz w:val="32"/>
        </w:rPr>
        <w:t>7. Candidate repository resolution</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1850"/>
        <w:gridCol w:w="7510"/>
      </w:tblGrid>
      <w:tr>
        <w:trPr>
          <w:tblHeader w:val="true"/>
          <w:cantSplit/>
        </w:trPr>
        <w:tc>
          <w:tcPr>
            <w:tcW w:type="dxa" w:w="4680"/>
            <w:shd w:fill="E8EEF5"/>
            <w:tcW w:w="1850" w:type="dxa"/>
            <w:tcMar>
              <w:top w:w="80" w:type="dxa"/>
              <w:bottom w:w="80" w:type="dxa"/>
              <w:start w:w="120" w:type="dxa"/>
              <w:end w:w="120" w:type="dxa"/>
            </w:tcMar>
          </w:tcPr>
          <w:p>
            <w:pPr>
              <w:spacing w:after="0"/>
            </w:pPr>
            <w:r>
              <w:rPr>
                <w:rFonts w:ascii="DejaVu Sans" w:hAnsi="DejaVu Sans" w:eastAsia="DejaVu Sans"/>
                <w:b/>
                <w:i w:val="0"/>
                <w:color w:val="0B2545"/>
                <w:sz w:val="16"/>
              </w:rPr>
              <w:t>Фаза</w:t>
            </w:r>
          </w:p>
        </w:tc>
        <w:tc>
          <w:tcPr>
            <w:tcW w:type="dxa" w:w="4680"/>
            <w:shd w:fill="E8EEF5"/>
            <w:tcW w:w="7510" w:type="dxa"/>
            <w:tcMar>
              <w:top w:w="80" w:type="dxa"/>
              <w:bottom w:w="80" w:type="dxa"/>
              <w:start w:w="120" w:type="dxa"/>
              <w:end w:w="120" w:type="dxa"/>
            </w:tcMar>
          </w:tcPr>
          <w:p>
            <w:pPr>
              <w:spacing w:after="0"/>
            </w:pPr>
            <w:r>
              <w:rPr>
                <w:rFonts w:ascii="DejaVu Sans" w:hAnsi="DejaVu Sans" w:eastAsia="DejaVu Sans"/>
                <w:b/>
                <w:i w:val="0"/>
                <w:color w:val="0B2545"/>
                <w:sz w:val="16"/>
              </w:rPr>
              <w:t>Операция</w:t>
            </w:r>
          </w:p>
        </w:tc>
      </w:tr>
      <w:tr>
        <w:trPr>
          <w:cantSplit/>
        </w:trPr>
        <w:tc>
          <w:tcPr>
            <w:tcW w:type="dxa" w:w="4680"/>
            <w:vAlign w:val="center"/>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1. Parse</w:t>
            </w:r>
          </w:p>
        </w:tc>
        <w:tc>
          <w:tcPr>
            <w:tcW w:type="dxa" w:w="4680"/>
            <w:vAlign w:val="center"/>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Canonicalize IDs; reject syntax/length errors.</w:t>
            </w:r>
          </w:p>
        </w:tc>
      </w:tr>
      <w:tr>
        <w:trPr>
          <w:cantSplit/>
        </w:trPr>
        <w:tc>
          <w:tcPr>
            <w:tcW w:type="dxa" w:w="4680"/>
            <w:vAlign w:val="center"/>
            <w:shd w:fill="FAFBFC"/>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2. Register types</w:t>
            </w:r>
          </w:p>
        </w:tc>
        <w:tc>
          <w:tcPr>
            <w:tcW w:type="dxa" w:w="4680"/>
            <w:vAlign w:val="center"/>
            <w:shd w:fill="FAFBFC"/>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Create implicit type entries and bind schemas/loaders.</w:t>
            </w:r>
          </w:p>
        </w:tc>
      </w:tr>
      <w:tr>
        <w:trPr>
          <w:cantSplit/>
        </w:trPr>
        <w:tc>
          <w:tcPr>
            <w:tcW w:type="dxa" w:w="4680"/>
            <w:vAlign w:val="center"/>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3. Establish ownership</w:t>
            </w:r>
          </w:p>
        </w:tc>
        <w:tc>
          <w:tcPr>
            <w:tcW w:type="dxa" w:w="4680"/>
            <w:vAlign w:val="center"/>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Classify each provider as own-ID creation, legal override или illegal foreign creation.</w:t>
            </w:r>
          </w:p>
        </w:tc>
      </w:tr>
      <w:tr>
        <w:trPr>
          <w:cantSplit/>
        </w:trPr>
        <w:tc>
          <w:tcPr>
            <w:tcW w:type="dxa" w:w="4680"/>
            <w:vAlign w:val="center"/>
            <w:shd w:fill="FAFBFC"/>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4. Select providers</w:t>
            </w:r>
          </w:p>
        </w:tc>
        <w:tc>
          <w:tcPr>
            <w:tcW w:type="dxa" w:w="4680"/>
            <w:vAlign w:val="center"/>
            <w:shd w:fill="FAFBFC"/>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For equal ID choose last provider in resolved load order; override replaces whole definition.</w:t>
            </w:r>
          </w:p>
        </w:tc>
      </w:tr>
      <w:tr>
        <w:trPr>
          <w:cantSplit/>
        </w:trPr>
        <w:tc>
          <w:tcPr>
            <w:tcW w:type="dxa" w:w="4680"/>
            <w:vAlign w:val="center"/>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5. Apply tombstones</w:t>
            </w:r>
          </w:p>
        </w:tc>
        <w:tc>
          <w:tcPr>
            <w:tcW w:type="dxa" w:w="4680"/>
            <w:vAlign w:val="center"/>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Mark known disabled IDs; no fallback to previous provider.</w:t>
            </w:r>
          </w:p>
        </w:tc>
      </w:tr>
      <w:tr>
        <w:trPr>
          <w:cantSplit/>
        </w:trPr>
        <w:tc>
          <w:tcPr>
            <w:tcW w:type="dxa" w:w="4680"/>
            <w:vAlign w:val="center"/>
            <w:shd w:fill="FAFBFC"/>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6. Build redirects</w:t>
            </w:r>
          </w:p>
        </w:tc>
        <w:tc>
          <w:tcPr>
            <w:tcW w:type="dxa" w:w="4680"/>
            <w:vAlign w:val="center"/>
            <w:shd w:fill="FAFBFC"/>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Validate source conflicts and detect cycles across the complete graph.</w:t>
            </w:r>
          </w:p>
        </w:tc>
      </w:tr>
      <w:tr>
        <w:trPr>
          <w:cantSplit/>
        </w:trPr>
        <w:tc>
          <w:tcPr>
            <w:tcW w:type="dxa" w:w="4680"/>
            <w:vAlign w:val="center"/>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7. Resolve references</w:t>
            </w:r>
          </w:p>
        </w:tc>
        <w:tc>
          <w:tcPr>
            <w:tcW w:type="dxa" w:w="4680"/>
            <w:vAlign w:val="center"/>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Canonicalize through redirects, check expected type/status/existence.</w:t>
            </w:r>
          </w:p>
        </w:tc>
      </w:tr>
      <w:tr>
        <w:trPr>
          <w:cantSplit/>
        </w:trPr>
        <w:tc>
          <w:tcPr>
            <w:tcW w:type="dxa" w:w="4680"/>
            <w:vAlign w:val="center"/>
            <w:shd w:fill="FAFBFC"/>
            <w:tcW w:w="1850" w:type="dxa"/>
            <w:tcMar>
              <w:top w:w="80" w:type="dxa"/>
              <w:bottom w:w="80" w:type="dxa"/>
              <w:start w:w="120" w:type="dxa"/>
              <w:end w:w="120" w:type="dxa"/>
            </w:tcMar>
          </w:tcPr>
          <w:p>
            <w:pPr>
              <w:spacing w:after="0"/>
            </w:pPr>
            <w:r>
              <w:rPr>
                <w:rFonts w:ascii="DejaVu Sans" w:hAnsi="DejaVu Sans" w:eastAsia="DejaVu Sans"/>
                <w:b w:val="0"/>
                <w:i w:val="0"/>
                <w:color w:val="111111"/>
                <w:sz w:val="16"/>
              </w:rPr>
              <w:t>8. Publish</w:t>
            </w:r>
          </w:p>
        </w:tc>
        <w:tc>
          <w:tcPr>
            <w:tcW w:type="dxa" w:w="4680"/>
            <w:vAlign w:val="center"/>
            <w:shd w:fill="FAFBFC"/>
            <w:tcW w:w="7510" w:type="dxa"/>
            <w:tcMar>
              <w:top w:w="80" w:type="dxa"/>
              <w:bottom w:w="80" w:type="dxa"/>
              <w:start w:w="120" w:type="dxa"/>
              <w:end w:w="120" w:type="dxa"/>
            </w:tcMar>
          </w:tcPr>
          <w:p>
            <w:pPr>
              <w:spacing w:after="0"/>
            </w:pPr>
            <w:r>
              <w:rPr>
                <w:rFonts w:ascii="DejaVu Sans" w:hAnsi="DejaVu Sans" w:eastAsia="DejaVu Sans"/>
                <w:b w:val="0"/>
                <w:i w:val="0"/>
                <w:color w:val="111111"/>
                <w:sz w:val="16"/>
              </w:rPr>
              <w:t>Only fully valid candidate becomes immutable repository snapshot.</w:t>
            </w:r>
          </w:p>
        </w:tc>
      </w:tr>
    </w:tbl>
    <w:p>
      <w:pPr>
        <w:spacing w:after="0"/>
      </w:pPr>
    </w:p>
    <w:p>
      <w:pPr>
        <w:pStyle w:val="Heading2"/>
      </w:pPr>
      <w:r>
        <w:rPr>
          <w:rFonts w:ascii="DejaVu Sans" w:hAnsi="DejaVu Sans" w:eastAsia="DejaVu Sans"/>
          <w:b/>
          <w:i w:val="0"/>
          <w:color w:val="2E74B5"/>
          <w:sz w:val="26"/>
        </w:rPr>
        <w:t>7.1 Full override semantics</w:t>
      </w:r>
    </w:p>
    <w:p>
      <w:r>
        <w:rPr>
          <w:rFonts w:ascii="DejaVu Sans" w:hAnsi="DejaVu Sans" w:eastAsia="DejaVu Sans"/>
          <w:b w:val="0"/>
          <w:i w:val="0"/>
          <w:color w:val="111111"/>
          <w:sz w:val="20"/>
        </w:rPr>
        <w:t>При нескольких providers одного definition_id последний provider в resolved load order полностью заменяет object предыдущего provider. Field-level merge не выполняется, если schema конкретного type явно не вводит отдельную операцию patch; такая patch не изменяет Stable ID semantics.</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800"/>
        <w:gridCol w:w="6560"/>
      </w:tblGrid>
      <w:tr>
        <w:trPr>
          <w:tblHeader w:val="true"/>
          <w:cantSplit/>
        </w:trPr>
        <w:tc>
          <w:tcPr>
            <w:tcW w:type="dxa" w:w="4680"/>
            <w:shd w:fill="E8EEF5"/>
            <w:tcW w:w="2800" w:type="dxa"/>
            <w:tcMar>
              <w:top w:w="80" w:type="dxa"/>
              <w:bottom w:w="80" w:type="dxa"/>
              <w:start w:w="120" w:type="dxa"/>
              <w:end w:w="120" w:type="dxa"/>
            </w:tcMar>
          </w:tcPr>
          <w:p>
            <w:pPr>
              <w:spacing w:after="0"/>
            </w:pPr>
            <w:r>
              <w:rPr>
                <w:rFonts w:ascii="DejaVu Sans" w:hAnsi="DejaVu Sans" w:eastAsia="DejaVu Sans"/>
                <w:b/>
                <w:i w:val="0"/>
                <w:color w:val="0B2545"/>
                <w:sz w:val="16"/>
              </w:rPr>
              <w:t>Provenance field</w:t>
            </w:r>
          </w:p>
        </w:tc>
        <w:tc>
          <w:tcPr>
            <w:tcW w:type="dxa" w:w="4680"/>
            <w:shd w:fill="E8EEF5"/>
            <w:tcW w:w="6560" w:type="dxa"/>
            <w:tcMar>
              <w:top w:w="80" w:type="dxa"/>
              <w:bottom w:w="80" w:type="dxa"/>
              <w:start w:w="120" w:type="dxa"/>
              <w:end w:w="120" w:type="dxa"/>
            </w:tcMar>
          </w:tcPr>
          <w:p>
            <w:pPr>
              <w:spacing w:after="0"/>
            </w:pPr>
            <w:r>
              <w:rPr>
                <w:rFonts w:ascii="DejaVu Sans" w:hAnsi="DejaVu Sans" w:eastAsia="DejaVu Sans"/>
                <w:b/>
                <w:i w:val="0"/>
                <w:color w:val="0B2545"/>
                <w:sz w:val="16"/>
              </w:rPr>
              <w:t>Значение</w:t>
            </w:r>
          </w:p>
        </w:tc>
      </w:tr>
      <w:tr>
        <w:trPr>
          <w:cantSplit/>
        </w:trPr>
        <w:tc>
          <w:tcPr>
            <w:tcW w:type="dxa" w:w="4680"/>
            <w:vAlign w:val="center"/>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requested_id</w:t>
            </w:r>
          </w:p>
        </w:tc>
        <w:tc>
          <w:tcPr>
            <w:tcW w:type="dxa" w:w="4680"/>
            <w:vAlign w:val="center"/>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input до redirect resolution.</w:t>
            </w:r>
          </w:p>
        </w:tc>
      </w:tr>
      <w:tr>
        <w:trPr>
          <w:cantSplit/>
        </w:trPr>
        <w:tc>
          <w:tcPr>
            <w:tcW w:type="dxa" w:w="4680"/>
            <w:vAlign w:val="center"/>
            <w:shd w:fill="FAFBFC"/>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canonical_id</w:t>
            </w:r>
          </w:p>
        </w:tc>
        <w:tc>
          <w:tcPr>
            <w:tcW w:type="dxa" w:w="4680"/>
            <w:vAlign w:val="center"/>
            <w:shd w:fill="FAFBFC"/>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Конечный active definition_id.</w:t>
            </w:r>
          </w:p>
        </w:tc>
      </w:tr>
      <w:tr>
        <w:trPr>
          <w:cantSplit/>
        </w:trPr>
        <w:tc>
          <w:tcPr>
            <w:tcW w:type="dxa" w:w="4680"/>
            <w:vAlign w:val="center"/>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provider_package_id</w:t>
            </w:r>
          </w:p>
        </w:tc>
        <w:tc>
          <w:tcPr>
            <w:tcW w:type="dxa" w:w="4680"/>
            <w:vAlign w:val="center"/>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Package выбранного active provider.</w:t>
            </w:r>
          </w:p>
        </w:tc>
      </w:tr>
      <w:tr>
        <w:trPr>
          <w:cantSplit/>
        </w:trPr>
        <w:tc>
          <w:tcPr>
            <w:tcW w:type="dxa" w:w="4680"/>
            <w:vAlign w:val="center"/>
            <w:shd w:fill="FAFBFC"/>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overridden_providers</w:t>
            </w:r>
          </w:p>
        </w:tc>
        <w:tc>
          <w:tcPr>
            <w:tcW w:type="dxa" w:w="4680"/>
            <w:vAlign w:val="center"/>
            <w:shd w:fill="FAFBFC"/>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Упорядоченный список более ранних providers.</w:t>
            </w:r>
          </w:p>
        </w:tc>
      </w:tr>
      <w:tr>
        <w:trPr>
          <w:cantSplit/>
        </w:trPr>
        <w:tc>
          <w:tcPr>
            <w:tcW w:type="dxa" w:w="4680"/>
            <w:vAlign w:val="center"/>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redirect_chain</w:t>
            </w:r>
          </w:p>
        </w:tc>
        <w:tc>
          <w:tcPr>
            <w:tcW w:type="dxa" w:w="4680"/>
            <w:vAlign w:val="center"/>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Все visited redirect sources и конечный target.</w:t>
            </w:r>
          </w:p>
        </w:tc>
      </w:tr>
      <w:tr>
        <w:trPr>
          <w:cantSplit/>
        </w:trPr>
        <w:tc>
          <w:tcPr>
            <w:tcW w:type="dxa" w:w="4680"/>
            <w:vAlign w:val="center"/>
            <w:shd w:fill="FAFBFC"/>
            <w:tcW w:w="2800" w:type="dxa"/>
            <w:tcMar>
              <w:top w:w="80" w:type="dxa"/>
              <w:bottom w:w="80" w:type="dxa"/>
              <w:start w:w="120" w:type="dxa"/>
              <w:end w:w="120" w:type="dxa"/>
            </w:tcMar>
          </w:tcPr>
          <w:p>
            <w:pPr>
              <w:spacing w:after="0"/>
            </w:pPr>
            <w:r>
              <w:rPr>
                <w:rFonts w:ascii="DejaVu Sans" w:hAnsi="DejaVu Sans" w:eastAsia="DejaVu Sans"/>
                <w:b w:val="0"/>
                <w:i w:val="0"/>
                <w:color w:val="111111"/>
                <w:sz w:val="16"/>
              </w:rPr>
              <w:t>source_location</w:t>
            </w:r>
          </w:p>
        </w:tc>
        <w:tc>
          <w:tcPr>
            <w:tcW w:type="dxa" w:w="4680"/>
            <w:vAlign w:val="center"/>
            <w:shd w:fill="FAFBFC"/>
            <w:tcW w:w="6560" w:type="dxa"/>
            <w:tcMar>
              <w:top w:w="80" w:type="dxa"/>
              <w:bottom w:w="80" w:type="dxa"/>
              <w:start w:w="120" w:type="dxa"/>
              <w:end w:w="120" w:type="dxa"/>
            </w:tcMar>
          </w:tcPr>
          <w:p>
            <w:pPr>
              <w:spacing w:after="0"/>
            </w:pPr>
            <w:r>
              <w:rPr>
                <w:rFonts w:ascii="DejaVu Sans" w:hAnsi="DejaVu Sans" w:eastAsia="DejaVu Sans"/>
                <w:b w:val="0"/>
                <w:i w:val="0"/>
                <w:color w:val="111111"/>
                <w:sz w:val="16"/>
              </w:rPr>
              <w:t>Package-relative diagnostic location, не часть identity.</w:t>
            </w:r>
          </w:p>
        </w:tc>
      </w:tr>
    </w:tbl>
    <w:p>
      <w:pPr>
        <w:spacing w:after="0"/>
      </w:pPr>
    </w:p>
    <w:p>
      <w:pPr>
        <w:pStyle w:val="Heading1"/>
      </w:pPr>
      <w:r>
        <w:rPr>
          <w:rFonts w:ascii="DejaVu Sans" w:hAnsi="DejaVu Sans" w:eastAsia="DejaVu Sans"/>
          <w:b/>
          <w:i w:val="0"/>
          <w:color w:val="2E74B5"/>
          <w:sz w:val="32"/>
        </w:rPr>
        <w:t>8. Lookup and equality</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Resolve(requested_id, expected_type) -&gt;</w:t>
            </w:r>
            <w:r>
              <w:br/>
            </w:r>
            <w:r>
              <w:rPr>
                <w:rFonts w:ascii="DejaVu Sans Mono" w:hAnsi="DejaVu Sans Mono" w:eastAsia="DejaVu Sans Mono"/>
                <w:b w:val="0"/>
                <w:i w:val="0"/>
                <w:color w:val="0B2545"/>
                <w:sz w:val="15"/>
              </w:rPr>
              <w:t xml:space="preserve">  Canonicalize -&gt; Parse -&gt; FollowRedirects -&gt; CheckType -&gt; CheckStatus -&gt; Lookup</w:t>
            </w:r>
          </w:p>
        </w:tc>
      </w:tr>
    </w:tbl>
    <w:p>
      <w:pPr>
        <w:spacing w:after="0"/>
      </w:pPr>
    </w:p>
    <w:p>
      <w:pPr>
        <w:pStyle w:val="ListBullet"/>
      </w:pPr>
      <w:r>
        <w:rPr>
          <w:rFonts w:ascii="DejaVu Sans" w:hAnsi="DejaVu Sans" w:eastAsia="DejaVu Sans"/>
          <w:b w:val="0"/>
          <w:i w:val="0"/>
          <w:color w:val="111111"/>
          <w:sz w:val="20"/>
        </w:rPr>
        <w:t xml:space="preserve"> Equality и hashing используют canonical UTF-8 byte sequence.</w:t>
      </w:r>
    </w:p>
    <w:p>
      <w:pPr>
        <w:pStyle w:val="ListBullet"/>
      </w:pPr>
      <w:r>
        <w:rPr>
          <w:rFonts w:ascii="DejaVu Sans" w:hAnsi="DejaVu Sans" w:eastAsia="DejaVu Sans"/>
          <w:b w:val="0"/>
          <w:i w:val="0"/>
          <w:color w:val="111111"/>
          <w:sz w:val="20"/>
        </w:rPr>
        <w:t xml:space="preserve"> Resolved equality сравнивает canonical target IDs, поэтому redirected old_id равен target только после Resolve.</w:t>
      </w:r>
    </w:p>
    <w:p>
      <w:pPr>
        <w:pStyle w:val="ListBullet"/>
      </w:pPr>
      <w:r>
        <w:rPr>
          <w:rFonts w:ascii="DejaVu Sans" w:hAnsi="DejaVu Sans" w:eastAsia="DejaVu Sans"/>
          <w:b w:val="0"/>
          <w:i w:val="0"/>
          <w:color w:val="111111"/>
          <w:sz w:val="20"/>
        </w:rPr>
        <w:t xml:space="preserve"> Raw wrapper equality не следует redirects автоматически; это предотвращает скрытый repository access в map keys.</w:t>
      </w:r>
    </w:p>
    <w:p>
      <w:pPr>
        <w:pStyle w:val="ListBullet"/>
      </w:pPr>
      <w:r>
        <w:rPr>
          <w:rFonts w:ascii="DejaVu Sans" w:hAnsi="DejaVu Sans" w:eastAsia="DejaVu Sans"/>
          <w:b w:val="0"/>
          <w:i w:val="0"/>
          <w:color w:val="111111"/>
          <w:sz w:val="20"/>
        </w:rPr>
        <w:t xml:space="preserve"> Logs SHOULD записывать requested_id и canonical_id, если произошёл redirect.</w:t>
      </w:r>
    </w:p>
    <w:p>
      <w:r>
        <w:br w:type="page"/>
      </w:r>
    </w:p>
    <w:p>
      <w:pPr>
        <w:pStyle w:val="Heading1"/>
      </w:pPr>
      <w:r>
        <w:rPr>
          <w:rFonts w:ascii="DejaVu Sans" w:hAnsi="DejaVu Sans" w:eastAsia="DejaVu Sans"/>
          <w:b/>
          <w:i w:val="0"/>
          <w:color w:val="2E74B5"/>
          <w:sz w:val="32"/>
        </w:rPr>
        <w:t>9. Redirect registry</w:t>
      </w:r>
    </w:p>
    <w:p>
      <w:r>
        <w:rPr>
          <w:rFonts w:ascii="DejaVu Sans" w:hAnsi="DejaVu Sans" w:eastAsia="DejaVu Sans"/>
          <w:b w:val="0"/>
          <w:i w:val="0"/>
          <w:color w:val="111111"/>
          <w:sz w:val="20"/>
        </w:rPr>
        <w:t>Redirect — явная package data запись old_id → new_id. Source и target обязаны иметь одинаковый type segment. Любой более поздний package может объявить redirect для чужого ID; ownership source namespace не проверяется.</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w:t>
            </w:r>
            <w:r>
              <w:br/>
            </w:r>
            <w:r>
              <w:rPr>
                <w:rFonts w:ascii="DejaVu Sans Mono" w:hAnsi="DejaVu Sans Mono" w:eastAsia="DejaVu Sans Mono"/>
                <w:b w:val="0"/>
                <w:i w:val="0"/>
                <w:color w:val="0B2545"/>
                <w:sz w:val="15"/>
              </w:rPr>
              <w:t xml:space="preserve">  "old_id": "item.core.weapon.old_sword",</w:t>
            </w:r>
            <w:r>
              <w:br/>
            </w:r>
            <w:r>
              <w:rPr>
                <w:rFonts w:ascii="DejaVu Sans Mono" w:hAnsi="DejaVu Sans Mono" w:eastAsia="DejaVu Sans Mono"/>
                <w:b w:val="0"/>
                <w:i w:val="0"/>
                <w:color w:val="0B2545"/>
                <w:sz w:val="15"/>
              </w:rPr>
              <w:t xml:space="preserve">  "new_id": "item.core.weapon.iron_sword"</w:t>
            </w:r>
            <w:r>
              <w:br/>
            </w:r>
            <w:r>
              <w:rPr>
                <w:rFonts w:ascii="DejaVu Sans Mono" w:hAnsi="DejaVu Sans Mono" w:eastAsia="DejaVu Sans Mono"/>
                <w:b w:val="0"/>
                <w:i w:val="0"/>
                <w:color w:val="0B2545"/>
                <w:sz w:val="15"/>
              </w:rPr>
              <w:t>}</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250"/>
        <w:gridCol w:w="7110"/>
      </w:tblGrid>
      <w:tr>
        <w:trPr>
          <w:tblHeader w:val="true"/>
          <w:cantSplit/>
        </w:trPr>
        <w:tc>
          <w:tcPr>
            <w:tcW w:type="dxa" w:w="4680"/>
            <w:shd w:fill="E8EEF5"/>
            <w:tcW w:w="225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c>
          <w:tcPr>
            <w:tcW w:type="dxa" w:w="4680"/>
            <w:shd w:fill="E8EEF5"/>
            <w:tcW w:w="711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Source conflict</w:t>
            </w:r>
          </w:p>
        </w:tc>
        <w:tc>
          <w:tcPr>
            <w:tcW w:type="dxa" w:w="4680"/>
            <w:vAlign w:val="center"/>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ID не может одновременно быть redirect source и active definition.</w:t>
            </w:r>
          </w:p>
        </w:tc>
      </w:tr>
      <w:tr>
        <w:trPr>
          <w:cantSplit/>
        </w:trPr>
        <w:tc>
          <w:tcPr>
            <w:tcW w:type="dxa" w:w="4680"/>
            <w:vAlign w:val="center"/>
            <w:shd w:fill="FAFBFC"/>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Type</w:t>
            </w:r>
          </w:p>
        </w:tc>
        <w:tc>
          <w:tcPr>
            <w:tcW w:type="dxa" w:w="4680"/>
            <w:vAlign w:val="center"/>
            <w:shd w:fill="FAFBFC"/>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old_id.type == new_id.type; cross-type redirect запрещён.</w:t>
            </w:r>
          </w:p>
        </w:tc>
      </w:tr>
      <w:tr>
        <w:trPr>
          <w:cantSplit/>
        </w:trPr>
        <w:tc>
          <w:tcPr>
            <w:tcW w:type="dxa" w:w="4680"/>
            <w:vAlign w:val="center"/>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Declarer</w:t>
            </w:r>
          </w:p>
        </w:tc>
        <w:tc>
          <w:tcPr>
            <w:tcW w:type="dxa" w:w="4680"/>
            <w:vAlign w:val="center"/>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Любой package в resolved load order MAY объявить redirect.</w:t>
            </w:r>
          </w:p>
        </w:tc>
      </w:tr>
      <w:tr>
        <w:trPr>
          <w:cantSplit/>
        </w:trPr>
        <w:tc>
          <w:tcPr>
            <w:tcW w:type="dxa" w:w="4680"/>
            <w:vAlign w:val="center"/>
            <w:shd w:fill="FAFBFC"/>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Conflict</w:t>
            </w:r>
          </w:p>
        </w:tc>
        <w:tc>
          <w:tcPr>
            <w:tcW w:type="dxa" w:w="4680"/>
            <w:vAlign w:val="center"/>
            <w:shd w:fill="FAFBFC"/>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Две разные targets для одного source дают RedirectConflict; silent last-wins запрещён.</w:t>
            </w:r>
          </w:p>
        </w:tc>
      </w:tr>
      <w:tr>
        <w:trPr>
          <w:cantSplit/>
        </w:trPr>
        <w:tc>
          <w:tcPr>
            <w:tcW w:type="dxa" w:w="4680"/>
            <w:vAlign w:val="center"/>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Target</w:t>
            </w:r>
          </w:p>
        </w:tc>
        <w:tc>
          <w:tcPr>
            <w:tcW w:type="dxa" w:w="4680"/>
            <w:vAlign w:val="center"/>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MAY быть другим redirect source; конечный target обязан быть active definition либо disabled ID для диагностируемого результата.</w:t>
            </w:r>
          </w:p>
        </w:tc>
      </w:tr>
      <w:tr>
        <w:trPr>
          <w:cantSplit/>
        </w:trPr>
        <w:tc>
          <w:tcPr>
            <w:tcW w:type="dxa" w:w="4680"/>
            <w:vAlign w:val="center"/>
            <w:shd w:fill="FAFBFC"/>
            <w:tcW w:w="225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save</w:t>
            </w:r>
          </w:p>
        </w:tc>
        <w:tc>
          <w:tcPr>
            <w:tcW w:type="dxa" w:w="4680"/>
            <w:vAlign w:val="center"/>
            <w:shd w:fill="FAFBFC"/>
            <w:tcW w:w="7110" w:type="dxa"/>
            <w:tcMar>
              <w:top w:w="80" w:type="dxa"/>
              <w:bottom w:w="80" w:type="dxa"/>
              <w:start w:w="120" w:type="dxa"/>
              <w:end w:w="120" w:type="dxa"/>
            </w:tcMar>
          </w:tcPr>
          <w:p>
            <w:pPr>
              <w:spacing w:after="0"/>
            </w:pPr>
            <w:r>
              <w:rPr>
                <w:rFonts w:ascii="DejaVu Sans" w:hAnsi="DejaVu Sans" w:eastAsia="DejaVu Sans"/>
                <w:b w:val="0"/>
                <w:i w:val="0"/>
                <w:color w:val="111111"/>
                <w:sz w:val="16"/>
              </w:rPr>
              <w:t>После успешной load новое save записывает конечный canonical target.</w:t>
            </w:r>
          </w:p>
        </w:tc>
      </w:tr>
    </w:tbl>
    <w:p>
      <w:pPr>
        <w:spacing w:after="0"/>
      </w:pPr>
    </w:p>
    <w:p>
      <w:pPr>
        <w:pStyle w:val="Heading2"/>
      </w:pPr>
      <w:r>
        <w:rPr>
          <w:rFonts w:ascii="DejaVu Sans" w:hAnsi="DejaVu Sans" w:eastAsia="DejaVu Sans"/>
          <w:b/>
          <w:i w:val="0"/>
          <w:color w:val="2E74B5"/>
          <w:sz w:val="26"/>
        </w:rPr>
        <w:t>9.1 Unlimited chains</w:t>
      </w:r>
    </w:p>
    <w:p>
      <w:r>
        <w:rPr>
          <w:rFonts w:ascii="DejaVu Sans" w:hAnsi="DejaVu Sans" w:eastAsia="DejaVu Sans"/>
          <w:b w:val="0"/>
          <w:i w:val="0"/>
          <w:color w:val="111111"/>
          <w:sz w:val="20"/>
        </w:rPr>
        <w:t>Redirect chain не имеет configurable или hard-coded maximum depth. Resolver обязан обходить chain до terminal target и хранить visited set. Повторно посещённый source означает RedirectCycle и является fatal candidate validation error.</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current = requested_id</w:t>
            </w:r>
            <w:r>
              <w:br/>
            </w:r>
            <w:r>
              <w:rPr>
                <w:rFonts w:ascii="DejaVu Sans Mono" w:hAnsi="DejaVu Sans Mono" w:eastAsia="DejaVu Sans Mono"/>
                <w:b w:val="0"/>
                <w:i w:val="0"/>
                <w:color w:val="0B2545"/>
                <w:sz w:val="15"/>
              </w:rPr>
              <w:t>visited = ordered_set()</w:t>
            </w:r>
            <w:r>
              <w:br/>
            </w:r>
            <w:r>
              <w:rPr>
                <w:rFonts w:ascii="DejaVu Sans Mono" w:hAnsi="DejaVu Sans Mono" w:eastAsia="DejaVu Sans Mono"/>
                <w:b w:val="0"/>
                <w:i w:val="0"/>
                <w:color w:val="0B2545"/>
                <w:sz w:val="15"/>
              </w:rPr>
              <w:t>while redirects.contains(current):</w:t>
            </w:r>
            <w:r>
              <w:br/>
            </w:r>
            <w:r>
              <w:rPr>
                <w:rFonts w:ascii="DejaVu Sans Mono" w:hAnsi="DejaVu Sans Mono" w:eastAsia="DejaVu Sans Mono"/>
                <w:b w:val="0"/>
                <w:i w:val="0"/>
                <w:color w:val="0B2545"/>
                <w:sz w:val="15"/>
              </w:rPr>
              <w:t xml:space="preserve">    if current in visited: fail RedirectCycle(visited + current)</w:t>
            </w:r>
            <w:r>
              <w:br/>
            </w:r>
            <w:r>
              <w:rPr>
                <w:rFonts w:ascii="DejaVu Sans Mono" w:hAnsi="DejaVu Sans Mono" w:eastAsia="DejaVu Sans Mono"/>
                <w:b w:val="0"/>
                <w:i w:val="0"/>
                <w:color w:val="0B2545"/>
                <w:sz w:val="15"/>
              </w:rPr>
              <w:t xml:space="preserve">    visited.add(current)</w:t>
            </w:r>
            <w:r>
              <w:br/>
            </w:r>
            <w:r>
              <w:rPr>
                <w:rFonts w:ascii="DejaVu Sans Mono" w:hAnsi="DejaVu Sans Mono" w:eastAsia="DejaVu Sans Mono"/>
                <w:b w:val="0"/>
                <w:i w:val="0"/>
                <w:color w:val="0B2545"/>
                <w:sz w:val="15"/>
              </w:rPr>
              <w:t xml:space="preserve">    current = redirects[current]</w:t>
            </w:r>
            <w:r>
              <w:br/>
            </w:r>
            <w:r>
              <w:rPr>
                <w:rFonts w:ascii="DejaVu Sans Mono" w:hAnsi="DejaVu Sans Mono" w:eastAsia="DejaVu Sans Mono"/>
                <w:b w:val="0"/>
                <w:i w:val="0"/>
                <w:color w:val="0B2545"/>
                <w:sz w:val="15"/>
              </w:rPr>
              <w:t>return current, visited</w:t>
            </w:r>
          </w:p>
        </w:tc>
      </w:tr>
    </w:tbl>
    <w:p>
      <w:pPr>
        <w:spacing w:after="0"/>
      </w:pPr>
    </w:p>
    <w:p>
      <w:pPr>
        <w:shd w:fill="F8E9C7"/>
        <w:spacing w:before="80" w:after="80"/>
        <w:ind w:left="101" w:right="101"/>
      </w:pPr>
      <w:r>
        <w:rPr>
          <w:rFonts w:ascii="DejaVu Sans" w:hAnsi="DejaVu Sans" w:eastAsia="DejaVu Sans"/>
          <w:b/>
          <w:i w:val="0"/>
          <w:color w:val="0B2545"/>
          <w:sz w:val="20"/>
        </w:rPr>
        <w:t xml:space="preserve">Стоимость выбранной политики. </w:t>
      </w:r>
      <w:r>
        <w:rPr>
          <w:rFonts w:ascii="DejaVu Sans" w:hAnsi="DejaVu Sans" w:eastAsia="DejaVu Sans"/>
          <w:b w:val="0"/>
          <w:i w:val="0"/>
          <w:color w:val="0B2545"/>
          <w:sz w:val="20"/>
        </w:rPr>
        <w:t>Отсутствие лимита не означает отсутствие защиты: cycle detection обязателен, а время/длина chain измеряются diagnostics. Runtime не вправе отклонить корректную acyclic chain только из-за её глубины.</w:t>
      </w:r>
    </w:p>
    <w:p>
      <w:pPr>
        <w:pStyle w:val="Heading1"/>
      </w:pPr>
      <w:r>
        <w:rPr>
          <w:rFonts w:ascii="DejaVu Sans" w:hAnsi="DejaVu Sans" w:eastAsia="DejaVu Sans"/>
          <w:b/>
          <w:i w:val="0"/>
          <w:color w:val="2E74B5"/>
          <w:sz w:val="32"/>
        </w:rPr>
        <w:t>10. Deletion, tombstone и reuse</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450"/>
        <w:gridCol w:w="3400"/>
        <w:gridCol w:w="3510"/>
      </w:tblGrid>
      <w:tr>
        <w:trPr>
          <w:tblHeader w:val="true"/>
          <w:cantSplit/>
        </w:trPr>
        <w:tc>
          <w:tcPr>
            <w:tcW w:type="dxa" w:w="3120"/>
            <w:shd w:fill="E8EEF5"/>
            <w:tcW w:w="2450" w:type="dxa"/>
            <w:tcMar>
              <w:top w:w="80" w:type="dxa"/>
              <w:bottom w:w="80" w:type="dxa"/>
              <w:start w:w="120" w:type="dxa"/>
              <w:end w:w="120" w:type="dxa"/>
            </w:tcMar>
          </w:tcPr>
          <w:p>
            <w:pPr>
              <w:spacing w:after="0"/>
            </w:pPr>
            <w:r>
              <w:rPr>
                <w:rFonts w:ascii="DejaVu Sans" w:hAnsi="DejaVu Sans" w:eastAsia="DejaVu Sans"/>
                <w:b/>
                <w:i w:val="0"/>
                <w:color w:val="0B2545"/>
                <w:sz w:val="16"/>
              </w:rPr>
              <w:t>Состояние</w:t>
            </w:r>
          </w:p>
        </w:tc>
        <w:tc>
          <w:tcPr>
            <w:tcW w:type="dxa" w:w="3120"/>
            <w:shd w:fill="E8EEF5"/>
            <w:tcW w:w="3400" w:type="dxa"/>
            <w:tcMar>
              <w:top w:w="80" w:type="dxa"/>
              <w:bottom w:w="80" w:type="dxa"/>
              <w:start w:w="120" w:type="dxa"/>
              <w:end w:w="120" w:type="dxa"/>
            </w:tcMar>
          </w:tcPr>
          <w:p>
            <w:pPr>
              <w:spacing w:after="0"/>
            </w:pPr>
            <w:r>
              <w:rPr>
                <w:rFonts w:ascii="DejaVu Sans" w:hAnsi="DejaVu Sans" w:eastAsia="DejaVu Sans"/>
                <w:b/>
                <w:i w:val="0"/>
                <w:color w:val="0B2545"/>
                <w:sz w:val="16"/>
              </w:rPr>
              <w:t>Resolution result</w:t>
            </w:r>
          </w:p>
        </w:tc>
        <w:tc>
          <w:tcPr>
            <w:tcW w:type="dxa" w:w="3120"/>
            <w:shd w:fill="E8EEF5"/>
            <w:tcW w:w="3510" w:type="dxa"/>
            <w:tcMar>
              <w:top w:w="80" w:type="dxa"/>
              <w:bottom w:w="80" w:type="dxa"/>
              <w:start w:w="120" w:type="dxa"/>
              <w:end w:w="120" w:type="dxa"/>
            </w:tcMar>
          </w:tcPr>
          <w:p>
            <w:pPr>
              <w:spacing w:after="0"/>
            </w:pPr>
            <w:r>
              <w:rPr>
                <w:rFonts w:ascii="DejaVu Sans" w:hAnsi="DejaVu Sans" w:eastAsia="DejaVu Sans"/>
                <w:b/>
                <w:i w:val="0"/>
                <w:color w:val="0B2545"/>
                <w:sz w:val="16"/>
              </w:rPr>
              <w:t>Можно переиспользовать?</w:t>
            </w:r>
          </w:p>
        </w:tc>
      </w:tr>
      <w:tr>
        <w:trPr>
          <w:cantSplit/>
        </w:trPr>
        <w:tc>
          <w:tcPr>
            <w:tcW w:type="dxa" w:w="3120"/>
            <w:vAlign w:val="center"/>
            <w:tcW w:w="2450" w:type="dxa"/>
            <w:tcMar>
              <w:top w:w="80" w:type="dxa"/>
              <w:bottom w:w="80" w:type="dxa"/>
              <w:start w:w="120" w:type="dxa"/>
              <w:end w:w="120" w:type="dxa"/>
            </w:tcMar>
          </w:tcPr>
          <w:p>
            <w:pPr>
              <w:spacing w:after="0"/>
            </w:pPr>
            <w:r>
              <w:rPr>
                <w:rFonts w:ascii="DejaVu Sans" w:hAnsi="DejaVu Sans" w:eastAsia="DejaVu Sans"/>
                <w:b w:val="0"/>
                <w:i w:val="0"/>
                <w:color w:val="111111"/>
                <w:sz w:val="16"/>
              </w:rPr>
              <w:t>Active definition</w:t>
            </w:r>
          </w:p>
        </w:tc>
        <w:tc>
          <w:tcPr>
            <w:tcW w:type="dxa" w:w="3120"/>
            <w:vAlign w:val="center"/>
            <w:tcW w:w="3400" w:type="dxa"/>
            <w:tcMar>
              <w:top w:w="80" w:type="dxa"/>
              <w:bottom w:w="80" w:type="dxa"/>
              <w:start w:w="120" w:type="dxa"/>
              <w:end w:w="120" w:type="dxa"/>
            </w:tcMar>
          </w:tcPr>
          <w:p>
            <w:pPr>
              <w:spacing w:after="0"/>
            </w:pPr>
            <w:r>
              <w:rPr>
                <w:rFonts w:ascii="DejaVu Sans" w:hAnsi="DejaVu Sans" w:eastAsia="DejaVu Sans"/>
                <w:b w:val="0"/>
                <w:i w:val="0"/>
                <w:color w:val="111111"/>
                <w:sz w:val="16"/>
              </w:rPr>
              <w:t>Success</w:t>
            </w:r>
          </w:p>
        </w:tc>
        <w:tc>
          <w:tcPr>
            <w:tcW w:type="dxa" w:w="3120"/>
            <w:vAlign w:val="center"/>
            <w:tcW w:w="3510" w:type="dxa"/>
            <w:tcMar>
              <w:top w:w="80" w:type="dxa"/>
              <w:bottom w:w="80" w:type="dxa"/>
              <w:start w:w="120" w:type="dxa"/>
              <w:end w:w="120" w:type="dxa"/>
            </w:tcMar>
          </w:tcPr>
          <w:p>
            <w:pPr>
              <w:spacing w:after="0"/>
            </w:pPr>
            <w:r>
              <w:rPr>
                <w:rFonts w:ascii="DejaVu Sans" w:hAnsi="DejaVu Sans" w:eastAsia="DejaVu Sans"/>
                <w:b w:val="0"/>
                <w:i w:val="0"/>
                <w:color w:val="111111"/>
                <w:sz w:val="16"/>
              </w:rPr>
              <w:t>Нет, кроме legal override того же ID.</w:t>
            </w:r>
          </w:p>
        </w:tc>
      </w:tr>
      <w:tr>
        <w:trPr>
          <w:cantSplit/>
        </w:trPr>
        <w:tc>
          <w:tcPr>
            <w:tcW w:type="dxa" w:w="3120"/>
            <w:vAlign w:val="center"/>
            <w:shd w:fill="FAFBFC"/>
            <w:tcW w:w="2450" w:type="dxa"/>
            <w:tcMar>
              <w:top w:w="80" w:type="dxa"/>
              <w:bottom w:w="80" w:type="dxa"/>
              <w:start w:w="120" w:type="dxa"/>
              <w:end w:w="120" w:type="dxa"/>
            </w:tcMar>
          </w:tcPr>
          <w:p>
            <w:pPr>
              <w:spacing w:after="0"/>
            </w:pPr>
            <w:r>
              <w:rPr>
                <w:rFonts w:ascii="DejaVu Sans" w:hAnsi="DejaVu Sans" w:eastAsia="DejaVu Sans"/>
                <w:b w:val="0"/>
                <w:i w:val="0"/>
                <w:color w:val="111111"/>
                <w:sz w:val="16"/>
              </w:rPr>
              <w:t>Redirect source</w:t>
            </w:r>
          </w:p>
        </w:tc>
        <w:tc>
          <w:tcPr>
            <w:tcW w:type="dxa" w:w="3120"/>
            <w:vAlign w:val="center"/>
            <w:shd w:fill="FAFBFC"/>
            <w:tcW w:w="3400" w:type="dxa"/>
            <w:tcMar>
              <w:top w:w="80" w:type="dxa"/>
              <w:bottom w:w="80" w:type="dxa"/>
              <w:start w:w="120" w:type="dxa"/>
              <w:end w:w="120" w:type="dxa"/>
            </w:tcMar>
          </w:tcPr>
          <w:p>
            <w:pPr>
              <w:spacing w:after="0"/>
            </w:pPr>
            <w:r>
              <w:rPr>
                <w:rFonts w:ascii="DejaVu Sans" w:hAnsi="DejaVu Sans" w:eastAsia="DejaVu Sans"/>
                <w:b w:val="0"/>
                <w:i w:val="0"/>
                <w:color w:val="111111"/>
                <w:sz w:val="16"/>
              </w:rPr>
              <w:t>Follow to target</w:t>
            </w:r>
          </w:p>
        </w:tc>
        <w:tc>
          <w:tcPr>
            <w:tcW w:type="dxa" w:w="3120"/>
            <w:vAlign w:val="center"/>
            <w:shd w:fill="FAFBFC"/>
            <w:tcW w:w="3510" w:type="dxa"/>
            <w:tcMar>
              <w:top w:w="80" w:type="dxa"/>
              <w:bottom w:w="80" w:type="dxa"/>
              <w:start w:w="120" w:type="dxa"/>
              <w:end w:w="120" w:type="dxa"/>
            </w:tcMar>
          </w:tcPr>
          <w:p>
            <w:pPr>
              <w:spacing w:after="0"/>
            </w:pPr>
            <w:r>
              <w:rPr>
                <w:rFonts w:ascii="DejaVu Sans" w:hAnsi="DejaVu Sans" w:eastAsia="DejaVu Sans"/>
                <w:b w:val="0"/>
                <w:i w:val="0"/>
                <w:color w:val="111111"/>
                <w:sz w:val="16"/>
              </w:rPr>
              <w:t>Нет, пока redirect существует.</w:t>
            </w:r>
          </w:p>
        </w:tc>
      </w:tr>
      <w:tr>
        <w:trPr>
          <w:cantSplit/>
        </w:trPr>
        <w:tc>
          <w:tcPr>
            <w:tcW w:type="dxa" w:w="3120"/>
            <w:vAlign w:val="center"/>
            <w:tcW w:w="2450" w:type="dxa"/>
            <w:tcMar>
              <w:top w:w="80" w:type="dxa"/>
              <w:bottom w:w="80" w:type="dxa"/>
              <w:start w:w="120" w:type="dxa"/>
              <w:end w:w="120" w:type="dxa"/>
            </w:tcMar>
          </w:tcPr>
          <w:p>
            <w:pPr>
              <w:spacing w:after="0"/>
            </w:pPr>
            <w:r>
              <w:rPr>
                <w:rFonts w:ascii="DejaVu Sans" w:hAnsi="DejaVu Sans" w:eastAsia="DejaVu Sans"/>
                <w:b w:val="0"/>
                <w:i w:val="0"/>
                <w:color w:val="111111"/>
                <w:sz w:val="16"/>
              </w:rPr>
              <w:t>Tombstoned/disabled</w:t>
            </w:r>
          </w:p>
        </w:tc>
        <w:tc>
          <w:tcPr>
            <w:tcW w:type="dxa" w:w="3120"/>
            <w:vAlign w:val="center"/>
            <w:tcW w:w="3400" w:type="dxa"/>
            <w:tcMar>
              <w:top w:w="80" w:type="dxa"/>
              <w:bottom w:w="80" w:type="dxa"/>
              <w:start w:w="120" w:type="dxa"/>
              <w:end w:w="120" w:type="dxa"/>
            </w:tcMar>
          </w:tcPr>
          <w:p>
            <w:pPr>
              <w:spacing w:after="0"/>
            </w:pPr>
            <w:r>
              <w:rPr>
                <w:rFonts w:ascii="DejaVu Sans" w:hAnsi="DejaVu Sans" w:eastAsia="DejaVu Sans"/>
                <w:b w:val="0"/>
                <w:i w:val="0"/>
                <w:color w:val="111111"/>
                <w:sz w:val="16"/>
              </w:rPr>
              <w:t>DisabledId с reason/provider</w:t>
            </w:r>
          </w:p>
        </w:tc>
        <w:tc>
          <w:tcPr>
            <w:tcW w:type="dxa" w:w="3120"/>
            <w:vAlign w:val="center"/>
            <w:tcW w:w="3510" w:type="dxa"/>
            <w:tcMar>
              <w:top w:w="80" w:type="dxa"/>
              <w:bottom w:w="80" w:type="dxa"/>
              <w:start w:w="120" w:type="dxa"/>
              <w:end w:w="120" w:type="dxa"/>
            </w:tcMar>
          </w:tcPr>
          <w:p>
            <w:pPr>
              <w:spacing w:after="0"/>
            </w:pPr>
            <w:r>
              <w:rPr>
                <w:rFonts w:ascii="DejaVu Sans" w:hAnsi="DejaVu Sans" w:eastAsia="DejaVu Sans"/>
                <w:b w:val="0"/>
                <w:i w:val="0"/>
                <w:color w:val="111111"/>
                <w:sz w:val="16"/>
              </w:rPr>
              <w:t>Нет, пока tombstone существует.</w:t>
            </w:r>
          </w:p>
        </w:tc>
      </w:tr>
      <w:tr>
        <w:trPr>
          <w:cantSplit/>
        </w:trPr>
        <w:tc>
          <w:tcPr>
            <w:tcW w:type="dxa" w:w="3120"/>
            <w:vAlign w:val="center"/>
            <w:shd w:fill="FAFBFC"/>
            <w:tcW w:w="2450" w:type="dxa"/>
            <w:tcMar>
              <w:top w:w="80" w:type="dxa"/>
              <w:bottom w:w="80" w:type="dxa"/>
              <w:start w:w="120" w:type="dxa"/>
              <w:end w:w="120" w:type="dxa"/>
            </w:tcMar>
          </w:tcPr>
          <w:p>
            <w:pPr>
              <w:spacing w:after="0"/>
            </w:pPr>
            <w:r>
              <w:rPr>
                <w:rFonts w:ascii="DejaVu Sans" w:hAnsi="DejaVu Sans" w:eastAsia="DejaVu Sans"/>
                <w:b w:val="0"/>
                <w:i w:val="0"/>
                <w:color w:val="111111"/>
                <w:sz w:val="16"/>
              </w:rPr>
              <w:t>Removed без redirect/tombstone</w:t>
            </w:r>
          </w:p>
        </w:tc>
        <w:tc>
          <w:tcPr>
            <w:tcW w:type="dxa" w:w="3120"/>
            <w:vAlign w:val="center"/>
            <w:shd w:fill="FAFBFC"/>
            <w:tcW w:w="3400" w:type="dxa"/>
            <w:tcMar>
              <w:top w:w="80" w:type="dxa"/>
              <w:bottom w:w="80" w:type="dxa"/>
              <w:start w:w="120" w:type="dxa"/>
              <w:end w:w="120" w:type="dxa"/>
            </w:tcMar>
          </w:tcPr>
          <w:p>
            <w:pPr>
              <w:spacing w:after="0"/>
            </w:pPr>
            <w:r>
              <w:rPr>
                <w:rFonts w:ascii="DejaVu Sans" w:hAnsi="DejaVu Sans" w:eastAsia="DejaVu Sans"/>
                <w:b w:val="0"/>
                <w:i w:val="0"/>
                <w:color w:val="111111"/>
                <w:sz w:val="16"/>
              </w:rPr>
              <w:t>UnknownId</w:t>
            </w:r>
          </w:p>
        </w:tc>
        <w:tc>
          <w:tcPr>
            <w:tcW w:type="dxa" w:w="3120"/>
            <w:vAlign w:val="center"/>
            <w:shd w:fill="FAFBFC"/>
            <w:tcW w:w="3510" w:type="dxa"/>
            <w:tcMar>
              <w:top w:w="80" w:type="dxa"/>
              <w:bottom w:w="80" w:type="dxa"/>
              <w:start w:w="120" w:type="dxa"/>
              <w:end w:w="120" w:type="dxa"/>
            </w:tcMar>
          </w:tcPr>
          <w:p>
            <w:pPr>
              <w:spacing w:after="0"/>
            </w:pPr>
            <w:r>
              <w:rPr>
                <w:rFonts w:ascii="DejaVu Sans" w:hAnsi="DejaVu Sans" w:eastAsia="DejaVu Sans"/>
                <w:b w:val="0"/>
                <w:i w:val="0"/>
                <w:color w:val="111111"/>
                <w:sz w:val="16"/>
              </w:rPr>
              <w:t>Да, немедленно.</w:t>
            </w:r>
          </w:p>
        </w:tc>
      </w:tr>
      <w:tr>
        <w:trPr>
          <w:cantSplit/>
        </w:trPr>
        <w:tc>
          <w:tcPr>
            <w:tcW w:type="dxa" w:w="3120"/>
            <w:vAlign w:val="center"/>
            <w:tcW w:w="2450" w:type="dxa"/>
            <w:tcMar>
              <w:top w:w="80" w:type="dxa"/>
              <w:bottom w:w="80" w:type="dxa"/>
              <w:start w:w="120" w:type="dxa"/>
              <w:end w:w="120" w:type="dxa"/>
            </w:tcMar>
          </w:tcPr>
          <w:p>
            <w:pPr>
              <w:spacing w:after="0"/>
            </w:pPr>
            <w:r>
              <w:rPr>
                <w:rFonts w:ascii="DejaVu Sans" w:hAnsi="DejaVu Sans" w:eastAsia="DejaVu Sans"/>
                <w:b w:val="0"/>
                <w:i w:val="0"/>
                <w:color w:val="111111"/>
                <w:sz w:val="16"/>
              </w:rPr>
              <w:t>Reused новым object</w:t>
            </w:r>
          </w:p>
        </w:tc>
        <w:tc>
          <w:tcPr>
            <w:tcW w:type="dxa" w:w="3120"/>
            <w:vAlign w:val="center"/>
            <w:tcW w:w="3400" w:type="dxa"/>
            <w:tcMar>
              <w:top w:w="80" w:type="dxa"/>
              <w:bottom w:w="80" w:type="dxa"/>
              <w:start w:w="120" w:type="dxa"/>
              <w:end w:w="120" w:type="dxa"/>
            </w:tcMar>
          </w:tcPr>
          <w:p>
            <w:pPr>
              <w:spacing w:after="0"/>
            </w:pPr>
            <w:r>
              <w:rPr>
                <w:rFonts w:ascii="DejaVu Sans" w:hAnsi="DejaVu Sans" w:eastAsia="DejaVu Sans"/>
                <w:b w:val="0"/>
                <w:i w:val="0"/>
                <w:color w:val="111111"/>
                <w:sz w:val="16"/>
              </w:rPr>
              <w:t>Success к новому object</w:t>
            </w:r>
          </w:p>
        </w:tc>
        <w:tc>
          <w:tcPr>
            <w:tcW w:type="dxa" w:w="3120"/>
            <w:vAlign w:val="center"/>
            <w:tcW w:w="3510" w:type="dxa"/>
            <w:tcMar>
              <w:top w:w="80" w:type="dxa"/>
              <w:bottom w:w="80" w:type="dxa"/>
              <w:start w:w="120" w:type="dxa"/>
              <w:end w:w="120" w:type="dxa"/>
            </w:tcMar>
          </w:tcPr>
          <w:p>
            <w:pPr>
              <w:spacing w:after="0"/>
            </w:pPr>
            <w:r>
              <w:rPr>
                <w:rFonts w:ascii="DejaVu Sans" w:hAnsi="DejaVu Sans" w:eastAsia="DejaVu Sans"/>
                <w:b w:val="0"/>
                <w:i w:val="0"/>
                <w:color w:val="111111"/>
                <w:sz w:val="16"/>
              </w:rPr>
              <w:t>Уже переиспользован; старые ссылки меняют смысл.</w:t>
            </w:r>
          </w:p>
        </w:tc>
      </w:tr>
    </w:tbl>
    <w:p>
      <w:pPr>
        <w:spacing w:after="0"/>
      </w:pPr>
    </w:p>
    <w:p>
      <w:pPr>
        <w:pStyle w:val="Heading2"/>
      </w:pPr>
      <w:r>
        <w:rPr>
          <w:rFonts w:ascii="DejaVu Sans" w:hAnsi="DejaVu Sans" w:eastAsia="DejaVu Sans"/>
          <w:b/>
          <w:i w:val="0"/>
          <w:color w:val="2E74B5"/>
          <w:sz w:val="26"/>
        </w:rPr>
        <w:t>10.1 Intentional semantic break</w:t>
      </w:r>
    </w:p>
    <w:p>
      <w:r>
        <w:rPr>
          <w:rFonts w:ascii="DejaVu Sans" w:hAnsi="DejaVu Sans" w:eastAsia="DejaVu Sans"/>
          <w:b w:val="0"/>
          <w:i w:val="0"/>
          <w:color w:val="111111"/>
          <w:sz w:val="20"/>
        </w:rPr>
        <w:t>Published ID не резервируется навсегда. После удаления без redirect или tombstone тот же canonical ID может быть немедленно назначен семантически иному object. Старый save, event payload или mod reference при следующем resolve получит новый object.</w:t>
      </w:r>
    </w:p>
    <w:p>
      <w:pPr>
        <w:shd w:fill="F5DADA"/>
        <w:spacing w:before="80" w:after="80"/>
        <w:ind w:left="101" w:right="101"/>
      </w:pPr>
      <w:r>
        <w:rPr>
          <w:rFonts w:ascii="DejaVu Sans" w:hAnsi="DejaVu Sans" w:eastAsia="DejaVu Sans"/>
          <w:b/>
          <w:i w:val="0"/>
          <w:color w:val="0B2545"/>
          <w:sz w:val="20"/>
        </w:rPr>
        <w:t xml:space="preserve">Breaking behavior принят сознательно. </w:t>
      </w:r>
      <w:r>
        <w:rPr>
          <w:rFonts w:ascii="DejaVu Sans" w:hAnsi="DejaVu Sans" w:eastAsia="DejaVu Sans"/>
          <w:b w:val="0"/>
          <w:i w:val="0"/>
          <w:color w:val="0B2545"/>
          <w:sz w:val="20"/>
        </w:rPr>
        <w:t>Runtime MUST NOT блокировать reuse ради backward compatibility. Если build history или compatibility ledger доступен, tooling MUST выдать ReusedPublishedId warning с прежним и новым provenance; отсутствие history не делает candidate invalid.</w:t>
      </w:r>
    </w:p>
    <w:p>
      <w:pPr>
        <w:pStyle w:val="ListBullet"/>
      </w:pPr>
      <w:r>
        <w:rPr>
          <w:rFonts w:ascii="DejaVu Sans" w:hAnsi="DejaVu Sans" w:eastAsia="DejaVu Sans"/>
          <w:b w:val="0"/>
          <w:i w:val="0"/>
          <w:color w:val="111111"/>
          <w:sz w:val="20"/>
        </w:rPr>
        <w:t xml:space="preserve"> Redirect рекомендуется для rename или semantic continuation.</w:t>
      </w:r>
    </w:p>
    <w:p>
      <w:pPr>
        <w:pStyle w:val="ListBullet"/>
      </w:pPr>
      <w:r>
        <w:rPr>
          <w:rFonts w:ascii="DejaVu Sans" w:hAnsi="DejaVu Sans" w:eastAsia="DejaVu Sans"/>
          <w:b w:val="0"/>
          <w:i w:val="0"/>
          <w:color w:val="111111"/>
          <w:sz w:val="20"/>
        </w:rPr>
        <w:t xml:space="preserve"> Tombstone рекомендуется, если старую ссылку нужно диагностировать как удалённую.</w:t>
      </w:r>
    </w:p>
    <w:p>
      <w:pPr>
        <w:pStyle w:val="ListBullet"/>
      </w:pPr>
      <w:r>
        <w:rPr>
          <w:rFonts w:ascii="DejaVu Sans" w:hAnsi="DejaVu Sans" w:eastAsia="DejaVu Sans"/>
          <w:b w:val="0"/>
          <w:i w:val="0"/>
          <w:color w:val="111111"/>
          <w:sz w:val="20"/>
        </w:rPr>
        <w:t xml:space="preserve"> Простое removal освобождает ID и допускает будущую смену смысла.</w:t>
      </w:r>
    </w:p>
    <w:p>
      <w:pPr>
        <w:pStyle w:val="ListBullet"/>
      </w:pPr>
      <w:r>
        <w:rPr>
          <w:rFonts w:ascii="DejaVu Sans" w:hAnsi="DejaVu Sans" w:eastAsia="DejaVu Sans"/>
          <w:b w:val="0"/>
          <w:i w:val="0"/>
          <w:color w:val="111111"/>
          <w:sz w:val="20"/>
        </w:rPr>
        <w:t xml:space="preserve"> Версия, locale, content hash и release number никогда не встраиваются в ID для компенсации reuse.</w:t>
      </w:r>
    </w:p>
    <w:p>
      <w:r>
        <w:br w:type="page"/>
      </w:r>
    </w:p>
    <w:p>
      <w:pPr>
        <w:pStyle w:val="Heading1"/>
      </w:pPr>
      <w:r>
        <w:rPr>
          <w:rFonts w:ascii="DejaVu Sans" w:hAnsi="DejaVu Sans" w:eastAsia="DejaVu Sans"/>
          <w:b/>
          <w:i w:val="0"/>
          <w:color w:val="2E74B5"/>
          <w:sz w:val="32"/>
        </w:rPr>
        <w:t>11. Local child IDs</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local-child-id = definition-id "#" local-kind "." local-path</w:t>
            </w:r>
            <w:r>
              <w:br/>
            </w:r>
            <w:r>
              <w:rPr>
                <w:rFonts w:ascii="DejaVu Sans Mono" w:hAnsi="DejaVu Sans Mono" w:eastAsia="DejaVu Sans Mono"/>
                <w:b w:val="0"/>
                <w:i w:val="0"/>
                <w:color w:val="0B2545"/>
                <w:sz w:val="15"/>
              </w:rPr>
              <w:t xml:space="preserve">                 *("." local-path)</w:t>
            </w:r>
            <w:r>
              <w:br/>
            </w:r>
            <w:r>
              <w:rPr>
                <w:rFonts w:ascii="DejaVu Sans Mono" w:hAnsi="DejaVu Sans Mono" w:eastAsia="DejaVu Sans Mono"/>
                <w:b w:val="0"/>
                <w:i w:val="0"/>
                <w:color w:val="0B2545"/>
                <w:sz w:val="15"/>
              </w:rPr>
              <w:t>local-kind     = segment</w:t>
            </w:r>
            <w:r>
              <w:br/>
            </w:r>
            <w:r>
              <w:rPr>
                <w:rFonts w:ascii="DejaVu Sans Mono" w:hAnsi="DejaVu Sans Mono" w:eastAsia="DejaVu Sans Mono"/>
                <w:b w:val="0"/>
                <w:i w:val="0"/>
                <w:color w:val="0B2545"/>
                <w:sz w:val="15"/>
              </w:rPr>
              <w:t>local-path     = segment</w:t>
            </w:r>
          </w:p>
        </w:tc>
      </w:tr>
    </w:tbl>
    <w:p>
      <w:pPr>
        <w:spacing w:after="0"/>
      </w:pPr>
    </w:p>
    <w:p>
      <w:r>
        <w:rPr>
          <w:rFonts w:ascii="DejaVu Sans" w:hAnsi="DejaVu Sans" w:eastAsia="DejaVu Sans"/>
          <w:b w:val="0"/>
          <w:i w:val="0"/>
          <w:color w:val="111111"/>
          <w:sz w:val="20"/>
        </w:rPr>
        <w:t>Local child identity является полной строкой owner_id#kind.path... . Она не регистрируется как global definition и уникальна только внутри конкретного owner definition.</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4200"/>
        <w:gridCol w:w="5160"/>
      </w:tblGrid>
      <w:tr>
        <w:trPr>
          <w:tblHeader w:val="true"/>
          <w:cantSplit/>
        </w:trPr>
        <w:tc>
          <w:tcPr>
            <w:tcW w:type="dxa" w:w="4680"/>
            <w:shd w:fill="E8EEF5"/>
            <w:tcW w:w="4200" w:type="dxa"/>
            <w:tcMar>
              <w:top w:w="80" w:type="dxa"/>
              <w:bottom w:w="80" w:type="dxa"/>
              <w:start w:w="120" w:type="dxa"/>
              <w:end w:w="120" w:type="dxa"/>
            </w:tcMar>
          </w:tcPr>
          <w:p>
            <w:pPr>
              <w:spacing w:after="0"/>
            </w:pPr>
            <w:r>
              <w:rPr>
                <w:rFonts w:ascii="DejaVu Sans" w:hAnsi="DejaVu Sans" w:eastAsia="DejaVu Sans"/>
                <w:b/>
                <w:i w:val="0"/>
                <w:color w:val="0B2545"/>
                <w:sz w:val="16"/>
              </w:rPr>
              <w:t>Пример</w:t>
            </w:r>
          </w:p>
        </w:tc>
        <w:tc>
          <w:tcPr>
            <w:tcW w:type="dxa" w:w="4680"/>
            <w:shd w:fill="E8EEF5"/>
            <w:tcW w:w="5160" w:type="dxa"/>
            <w:tcMar>
              <w:top w:w="80" w:type="dxa"/>
              <w:bottom w:w="80" w:type="dxa"/>
              <w:start w:w="120" w:type="dxa"/>
              <w:end w:w="120" w:type="dxa"/>
            </w:tcMar>
          </w:tcPr>
          <w:p>
            <w:pPr>
              <w:spacing w:after="0"/>
            </w:pPr>
            <w:r>
              <w:rPr>
                <w:rFonts w:ascii="DejaVu Sans" w:hAnsi="DejaVu Sans" w:eastAsia="DejaVu Sans"/>
                <w:b/>
                <w:i w:val="0"/>
                <w:color w:val="0B2545"/>
                <w:sz w:val="16"/>
              </w:rPr>
              <w:t>Семантика</w:t>
            </w:r>
          </w:p>
        </w:tc>
      </w:tr>
      <w:tr>
        <w:trPr>
          <w:cantSplit/>
        </w:trPr>
        <w:tc>
          <w:tcPr>
            <w:tcW w:type="dxa" w:w="4680"/>
            <w:vAlign w:val="center"/>
            <w:tcW w:w="4200" w:type="dxa"/>
            <w:tcMar>
              <w:top w:w="80" w:type="dxa"/>
              <w:bottom w:w="80" w:type="dxa"/>
              <w:start w:w="120" w:type="dxa"/>
              <w:end w:w="120" w:type="dxa"/>
            </w:tcMar>
          </w:tcPr>
          <w:p>
            <w:pPr>
              <w:spacing w:after="0"/>
            </w:pPr>
            <w:r>
              <w:rPr>
                <w:rFonts w:ascii="DejaVu Sans" w:hAnsi="DejaVu Sans" w:eastAsia="DejaVu Sans"/>
                <w:b w:val="0"/>
                <w:i w:val="0"/>
                <w:color w:val="111111"/>
                <w:sz w:val="16"/>
              </w:rPr>
              <w:t>quest.core.main#stage.intro</w:t>
            </w:r>
          </w:p>
        </w:tc>
        <w:tc>
          <w:tcPr>
            <w:tcW w:type="dxa" w:w="4680"/>
            <w:vAlign w:val="center"/>
            <w:tcW w:w="5160" w:type="dxa"/>
            <w:tcMar>
              <w:top w:w="80" w:type="dxa"/>
              <w:bottom w:w="80" w:type="dxa"/>
              <w:start w:w="120" w:type="dxa"/>
              <w:end w:w="120" w:type="dxa"/>
            </w:tcMar>
          </w:tcPr>
          <w:p>
            <w:pPr>
              <w:spacing w:after="0"/>
            </w:pPr>
            <w:r>
              <w:rPr>
                <w:rFonts w:ascii="DejaVu Sans" w:hAnsi="DejaVu Sans" w:eastAsia="DejaVu Sans"/>
                <w:b w:val="0"/>
                <w:i w:val="0"/>
                <w:color w:val="111111"/>
                <w:sz w:val="16"/>
              </w:rPr>
              <w:t>Stage intro внутри quest.core.main.</w:t>
            </w:r>
          </w:p>
        </w:tc>
      </w:tr>
      <w:tr>
        <w:trPr>
          <w:cantSplit/>
        </w:trPr>
        <w:tc>
          <w:tcPr>
            <w:tcW w:type="dxa" w:w="4680"/>
            <w:vAlign w:val="center"/>
            <w:shd w:fill="FAFBFC"/>
            <w:tcW w:w="4200" w:type="dxa"/>
            <w:tcMar>
              <w:top w:w="80" w:type="dxa"/>
              <w:bottom w:w="80" w:type="dxa"/>
              <w:start w:w="120" w:type="dxa"/>
              <w:end w:w="120" w:type="dxa"/>
            </w:tcMar>
          </w:tcPr>
          <w:p>
            <w:pPr>
              <w:spacing w:after="0"/>
            </w:pPr>
            <w:r>
              <w:rPr>
                <w:rFonts w:ascii="DejaVu Sans" w:hAnsi="DejaVu Sans" w:eastAsia="DejaVu Sans"/>
                <w:b w:val="0"/>
                <w:i w:val="0"/>
                <w:color w:val="111111"/>
                <w:sz w:val="16"/>
              </w:rPr>
              <w:t>quest.core.main#objective.find_key</w:t>
            </w:r>
          </w:p>
        </w:tc>
        <w:tc>
          <w:tcPr>
            <w:tcW w:type="dxa" w:w="4680"/>
            <w:vAlign w:val="center"/>
            <w:shd w:fill="FAFBFC"/>
            <w:tcW w:w="5160" w:type="dxa"/>
            <w:tcMar>
              <w:top w:w="80" w:type="dxa"/>
              <w:bottom w:w="80" w:type="dxa"/>
              <w:start w:w="120" w:type="dxa"/>
              <w:end w:w="120" w:type="dxa"/>
            </w:tcMar>
          </w:tcPr>
          <w:p>
            <w:pPr>
              <w:spacing w:after="0"/>
            </w:pPr>
            <w:r>
              <w:rPr>
                <w:rFonts w:ascii="DejaVu Sans" w:hAnsi="DejaVu Sans" w:eastAsia="DejaVu Sans"/>
                <w:b w:val="0"/>
                <w:i w:val="0"/>
                <w:color w:val="111111"/>
                <w:sz w:val="16"/>
              </w:rPr>
              <w:t>Objective find_key того же quest.</w:t>
            </w:r>
          </w:p>
        </w:tc>
      </w:tr>
      <w:tr>
        <w:trPr>
          <w:cantSplit/>
        </w:trPr>
        <w:tc>
          <w:tcPr>
            <w:tcW w:type="dxa" w:w="4680"/>
            <w:vAlign w:val="center"/>
            <w:tcW w:w="4200" w:type="dxa"/>
            <w:tcMar>
              <w:top w:w="80" w:type="dxa"/>
              <w:bottom w:w="80" w:type="dxa"/>
              <w:start w:w="120" w:type="dxa"/>
              <w:end w:w="120" w:type="dxa"/>
            </w:tcMar>
          </w:tcPr>
          <w:p>
            <w:pPr>
              <w:spacing w:after="0"/>
            </w:pPr>
            <w:r>
              <w:rPr>
                <w:rFonts w:ascii="DejaVu Sans" w:hAnsi="DejaVu Sans" w:eastAsia="DejaVu Sans"/>
                <w:b w:val="0"/>
                <w:i w:val="0"/>
                <w:color w:val="111111"/>
                <w:sz w:val="16"/>
              </w:rPr>
              <w:t>screen.core.shop#widget.buy_button</w:t>
            </w:r>
          </w:p>
        </w:tc>
        <w:tc>
          <w:tcPr>
            <w:tcW w:type="dxa" w:w="4680"/>
            <w:vAlign w:val="center"/>
            <w:tcW w:w="5160" w:type="dxa"/>
            <w:tcMar>
              <w:top w:w="80" w:type="dxa"/>
              <w:bottom w:w="80" w:type="dxa"/>
              <w:start w:w="120" w:type="dxa"/>
              <w:end w:w="120" w:type="dxa"/>
            </w:tcMar>
          </w:tcPr>
          <w:p>
            <w:pPr>
              <w:spacing w:after="0"/>
            </w:pPr>
            <w:r>
              <w:rPr>
                <w:rFonts w:ascii="DejaVu Sans" w:hAnsi="DejaVu Sans" w:eastAsia="DejaVu Sans"/>
                <w:b w:val="0"/>
                <w:i w:val="0"/>
                <w:color w:val="111111"/>
                <w:sz w:val="16"/>
              </w:rPr>
              <w:t>Widget key внутри screen definition.</w:t>
            </w:r>
          </w:p>
        </w:tc>
      </w:tr>
      <w:tr>
        <w:trPr>
          <w:cantSplit/>
        </w:trPr>
        <w:tc>
          <w:tcPr>
            <w:tcW w:type="dxa" w:w="4680"/>
            <w:vAlign w:val="center"/>
            <w:shd w:fill="FAFBFC"/>
            <w:tcW w:w="4200" w:type="dxa"/>
            <w:tcMar>
              <w:top w:w="80" w:type="dxa"/>
              <w:bottom w:w="80" w:type="dxa"/>
              <w:start w:w="120" w:type="dxa"/>
              <w:end w:w="120" w:type="dxa"/>
            </w:tcMar>
          </w:tcPr>
          <w:p>
            <w:pPr>
              <w:spacing w:after="0"/>
            </w:pPr>
            <w:r>
              <w:rPr>
                <w:rFonts w:ascii="DejaVu Sans" w:hAnsi="DejaVu Sans" w:eastAsia="DejaVu Sans"/>
                <w:b w:val="0"/>
                <w:i w:val="0"/>
                <w:color w:val="111111"/>
                <w:sz w:val="16"/>
              </w:rPr>
              <w:t>item.core.sword#slot.gem.primary</w:t>
            </w:r>
          </w:p>
        </w:tc>
        <w:tc>
          <w:tcPr>
            <w:tcW w:type="dxa" w:w="4680"/>
            <w:vAlign w:val="center"/>
            <w:shd w:fill="FAFBFC"/>
            <w:tcW w:w="5160" w:type="dxa"/>
            <w:tcMar>
              <w:top w:w="80" w:type="dxa"/>
              <w:bottom w:w="80" w:type="dxa"/>
              <w:start w:w="120" w:type="dxa"/>
              <w:end w:w="120" w:type="dxa"/>
            </w:tcMar>
          </w:tcPr>
          <w:p>
            <w:pPr>
              <w:spacing w:after="0"/>
            </w:pPr>
            <w:r>
              <w:rPr>
                <w:rFonts w:ascii="DejaVu Sans" w:hAnsi="DejaVu Sans" w:eastAsia="DejaVu Sans"/>
                <w:b w:val="0"/>
                <w:i w:val="0"/>
                <w:color w:val="111111"/>
                <w:sz w:val="16"/>
              </w:rPr>
              <w:t>Иерархический local slot.</w:t>
            </w:r>
          </w:p>
        </w:tc>
      </w:tr>
    </w:tbl>
    <w:p>
      <w:pPr>
        <w:spacing w:after="0"/>
      </w:pPr>
    </w:p>
    <w:p>
      <w:pPr>
        <w:pStyle w:val="Heading2"/>
      </w:pPr>
      <w:r>
        <w:rPr>
          <w:rFonts w:ascii="DejaVu Sans" w:hAnsi="DejaVu Sans" w:eastAsia="DejaVu Sans"/>
          <w:b/>
          <w:i w:val="0"/>
          <w:color w:val="2E74B5"/>
          <w:sz w:val="26"/>
        </w:rPr>
        <w:t>11.1 Validation and ownership</w:t>
      </w:r>
    </w:p>
    <w:p>
      <w:pPr>
        <w:pStyle w:val="ListBullet"/>
      </w:pPr>
      <w:r>
        <w:rPr>
          <w:rFonts w:ascii="DejaVu Sans" w:hAnsi="DejaVu Sans" w:eastAsia="DejaVu Sans"/>
          <w:b w:val="0"/>
          <w:i w:val="0"/>
          <w:color w:val="111111"/>
          <w:sz w:val="20"/>
        </w:rPr>
        <w:t xml:space="preserve"> Ровно один # разделяет canonical owner definition_id и local fragment.</w:t>
      </w:r>
    </w:p>
    <w:p>
      <w:pPr>
        <w:pStyle w:val="ListBullet"/>
      </w:pPr>
      <w:r>
        <w:rPr>
          <w:rFonts w:ascii="DejaVu Sans" w:hAnsi="DejaVu Sans" w:eastAsia="DejaVu Sans"/>
          <w:b w:val="0"/>
          <w:i w:val="0"/>
          <w:color w:val="111111"/>
          <w:sz w:val="20"/>
        </w:rPr>
        <w:t xml:space="preserve"> Owner обязан существовать и иметь schema, допускающую указанный local-kind.</w:t>
      </w:r>
    </w:p>
    <w:p>
      <w:pPr>
        <w:pStyle w:val="ListBullet"/>
      </w:pPr>
      <w:r>
        <w:rPr>
          <w:rFonts w:ascii="DejaVu Sans" w:hAnsi="DejaVu Sans" w:eastAsia="DejaVu Sans"/>
          <w:b w:val="0"/>
          <w:i w:val="0"/>
          <w:color w:val="111111"/>
          <w:sz w:val="20"/>
        </w:rPr>
        <w:t xml:space="preserve"> Все fragment segments используют ту же lowercase ASCII grammar и canonicalization.</w:t>
      </w:r>
    </w:p>
    <w:p>
      <w:pPr>
        <w:pStyle w:val="ListBullet"/>
      </w:pPr>
      <w:r>
        <w:rPr>
          <w:rFonts w:ascii="DejaVu Sans" w:hAnsi="DejaVu Sans" w:eastAsia="DejaVu Sans"/>
          <w:b w:val="0"/>
          <w:i w:val="0"/>
          <w:color w:val="111111"/>
          <w:sz w:val="20"/>
        </w:rPr>
        <w:t xml:space="preserve"> Local path unique внутри пары (owner_id, local-kind); одинаковые names разных kinds допустимы.</w:t>
      </w:r>
    </w:p>
    <w:p>
      <w:pPr>
        <w:pStyle w:val="ListBullet"/>
      </w:pPr>
      <w:r>
        <w:rPr>
          <w:rFonts w:ascii="DejaVu Sans" w:hAnsi="DejaVu Sans" w:eastAsia="DejaVu Sans"/>
          <w:b w:val="0"/>
          <w:i w:val="0"/>
          <w:color w:val="111111"/>
          <w:sz w:val="20"/>
        </w:rPr>
        <w:t xml:space="preserve"> Override owner definition полностью заменяет набор local children; dangling local references блокируют publication, если schema требует их разрешения.</w:t>
      </w:r>
    </w:p>
    <w:p>
      <w:pPr>
        <w:pStyle w:val="Heading1"/>
      </w:pPr>
      <w:r>
        <w:rPr>
          <w:rFonts w:ascii="DejaVu Sans" w:hAnsi="DejaVu Sans" w:eastAsia="DejaVu Sans"/>
          <w:b/>
          <w:i w:val="0"/>
          <w:color w:val="2E74B5"/>
          <w:sz w:val="32"/>
        </w:rPr>
        <w:t>12. Persistent instance_id</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instance-id = instance-type "@" positive-counter</w:t>
            </w:r>
            <w:r>
              <w:br/>
            </w:r>
            <w:r>
              <w:rPr>
                <w:rFonts w:ascii="DejaVu Sans Mono" w:hAnsi="DejaVu Sans Mono" w:eastAsia="DejaVu Sans Mono"/>
                <w:b w:val="0"/>
                <w:i w:val="0"/>
                <w:color w:val="0B2545"/>
                <w:sz w:val="15"/>
              </w:rPr>
              <w:t>instance-type = segment</w:t>
            </w:r>
            <w:r>
              <w:br/>
            </w:r>
            <w:r>
              <w:rPr>
                <w:rFonts w:ascii="DejaVu Sans Mono" w:hAnsi="DejaVu Sans Mono" w:eastAsia="DejaVu Sans Mono"/>
                <w:b w:val="0"/>
                <w:i w:val="0"/>
                <w:color w:val="0B2545"/>
                <w:sz w:val="15"/>
              </w:rPr>
              <w:t>positive-counter = nonzero-digit *digit</w:t>
            </w:r>
            <w:r>
              <w:br/>
            </w:r>
            <w:r>
              <w:rPr>
                <w:rFonts w:ascii="DejaVu Sans Mono" w:hAnsi="DejaVu Sans Mono" w:eastAsia="DejaVu Sans Mono"/>
                <w:b w:val="0"/>
                <w:i w:val="0"/>
                <w:color w:val="0B2545"/>
                <w:sz w:val="15"/>
              </w:rPr>
            </w:r>
            <w:r>
              <w:br/>
            </w:r>
            <w:r>
              <w:rPr>
                <w:rFonts w:ascii="DejaVu Sans Mono" w:hAnsi="DejaVu Sans Mono" w:eastAsia="DejaVu Sans Mono"/>
                <w:b w:val="0"/>
                <w:i w:val="0"/>
                <w:color w:val="0B2545"/>
                <w:sz w:val="15"/>
              </w:rPr>
              <w:t>examples: item@42  actor@7  quest@3</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300"/>
        <w:gridCol w:w="7060"/>
      </w:tblGrid>
      <w:tr>
        <w:trPr>
          <w:tblHeader w:val="true"/>
          <w:cantSplit/>
        </w:trPr>
        <w:tc>
          <w:tcPr>
            <w:tcW w:type="dxa" w:w="4680"/>
            <w:shd w:fill="E8EEF5"/>
            <w:tcW w:w="230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c>
          <w:tcPr>
            <w:tcW w:type="dxa" w:w="4680"/>
            <w:shd w:fill="E8EEF5"/>
            <w:tcW w:w="706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Allocator scope</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Один deterministic allocator на save lineage; counters MAY быть отдельными по instance_type.</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Start</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Первое значение — 1; leading zeros запрещены.</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Persistence</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Allocator next counters входят в canonical save.</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Uniqueness</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Пара (instance_type, counter) никогда не выдаётся повторно в lineage, включая удалённые instances.</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Creation order</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Одинаковый deterministic command/event sequence создаёт одинаковые IDs.</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Definition link</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Instance отдельно хранит definition_id; type compatibility проверяет instance schema.</w:t>
            </w:r>
          </w:p>
        </w:tc>
      </w:tr>
    </w:tbl>
    <w:p>
      <w:pPr>
        <w:spacing w:after="0"/>
      </w:pPr>
    </w:p>
    <w:p>
      <w:pPr>
        <w:pStyle w:val="Heading2"/>
      </w:pPr>
      <w:r>
        <w:rPr>
          <w:rFonts w:ascii="DejaVu Sans" w:hAnsi="DejaVu Sans" w:eastAsia="DejaVu Sans"/>
          <w:b/>
          <w:i w:val="0"/>
          <w:color w:val="2E74B5"/>
          <w:sz w:val="26"/>
        </w:rPr>
        <w:t>12.1 Singleton rule</w:t>
      </w:r>
    </w:p>
    <w:p>
      <w:r>
        <w:rPr>
          <w:rFonts w:ascii="DejaVu Sans" w:hAnsi="DejaVu Sans" w:eastAsia="DejaVu Sans"/>
          <w:b w:val="0"/>
          <w:i w:val="0"/>
          <w:color w:val="111111"/>
          <w:sz w:val="20"/>
        </w:rPr>
        <w:t>Уникальный actor, quest или иной singleton всё равно имеет два ID: definition_id описывает неизменяемую definition, instance_id — конкретное состояние в save lineage. Совпадение строк или использование definition_id вместо instance_id запрещено.</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w:t>
            </w:r>
            <w:r>
              <w:br/>
            </w:r>
            <w:r>
              <w:rPr>
                <w:rFonts w:ascii="DejaVu Sans Mono" w:hAnsi="DejaVu Sans Mono" w:eastAsia="DejaVu Sans Mono"/>
                <w:b w:val="0"/>
                <w:i w:val="0"/>
                <w:color w:val="0B2545"/>
                <w:sz w:val="15"/>
              </w:rPr>
              <w:t xml:space="preserve">  "instance_id": "actor@1",</w:t>
            </w:r>
            <w:r>
              <w:br/>
            </w:r>
            <w:r>
              <w:rPr>
                <w:rFonts w:ascii="DejaVu Sans Mono" w:hAnsi="DejaVu Sans Mono" w:eastAsia="DejaVu Sans Mono"/>
                <w:b w:val="0"/>
                <w:i w:val="0"/>
                <w:color w:val="0B2545"/>
                <w:sz w:val="15"/>
              </w:rPr>
              <w:t xml:space="preserve">  "definition_id": "actor.core.aria",</w:t>
            </w:r>
            <w:r>
              <w:br/>
            </w:r>
            <w:r>
              <w:rPr>
                <w:rFonts w:ascii="DejaVu Sans Mono" w:hAnsi="DejaVu Sans Mono" w:eastAsia="DejaVu Sans Mono"/>
                <w:b w:val="0"/>
                <w:i w:val="0"/>
                <w:color w:val="0B2545"/>
                <w:sz w:val="15"/>
              </w:rPr>
              <w:t xml:space="preserve">  "state": { "relationship": 2 }</w:t>
            </w:r>
            <w:r>
              <w:br/>
            </w:r>
            <w:r>
              <w:rPr>
                <w:rFonts w:ascii="DejaVu Sans Mono" w:hAnsi="DejaVu Sans Mono" w:eastAsia="DejaVu Sans Mono"/>
                <w:b w:val="0"/>
                <w:i w:val="0"/>
                <w:color w:val="0B2545"/>
                <w:sz w:val="15"/>
              </w:rPr>
              <w:t>}</w:t>
            </w:r>
          </w:p>
        </w:tc>
      </w:tr>
    </w:tbl>
    <w:p>
      <w:pPr>
        <w:spacing w:after="0"/>
      </w:pPr>
    </w:p>
    <w:p>
      <w:pPr>
        <w:pStyle w:val="Heading1"/>
      </w:pPr>
      <w:r>
        <w:rPr>
          <w:rFonts w:ascii="DejaVu Sans" w:hAnsi="DejaVu Sans" w:eastAsia="DejaVu Sans"/>
          <w:b/>
          <w:i w:val="0"/>
          <w:color w:val="2E74B5"/>
          <w:sz w:val="32"/>
        </w:rPr>
        <w:t>13. Transient runtime and UI identity</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transient-id = "runtime@" generation ":" positive-counter</w:t>
            </w:r>
            <w:r>
              <w:br/>
            </w:r>
            <w:r>
              <w:rPr>
                <w:rFonts w:ascii="DejaVu Sans Mono" w:hAnsi="DejaVu Sans Mono" w:eastAsia="DejaVu Sans Mono"/>
                <w:b w:val="0"/>
                <w:i w:val="0"/>
                <w:color w:val="0B2545"/>
                <w:sz w:val="15"/>
              </w:rPr>
              <w:t>ui-transient-id = "ui@" generation ":" positive-counter</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500"/>
        <w:gridCol w:w="6860"/>
      </w:tblGrid>
      <w:tr>
        <w:trPr>
          <w:tblHeader w:val="true"/>
          <w:cantSplit/>
        </w:trPr>
        <w:tc>
          <w:tcPr>
            <w:tcW w:type="dxa" w:w="4680"/>
            <w:shd w:fill="E8EEF5"/>
            <w:tcW w:w="2500" w:type="dxa"/>
            <w:tcMar>
              <w:top w:w="80" w:type="dxa"/>
              <w:bottom w:w="80" w:type="dxa"/>
              <w:start w:w="120" w:type="dxa"/>
              <w:end w:w="120" w:type="dxa"/>
            </w:tcMar>
          </w:tcPr>
          <w:p>
            <w:pPr>
              <w:spacing w:after="0"/>
            </w:pPr>
            <w:r>
              <w:rPr>
                <w:rFonts w:ascii="DejaVu Sans" w:hAnsi="DejaVu Sans" w:eastAsia="DejaVu Sans"/>
                <w:b/>
                <w:i w:val="0"/>
                <w:color w:val="0B2545"/>
                <w:sz w:val="16"/>
              </w:rPr>
              <w:t>Class</w:t>
            </w:r>
          </w:p>
        </w:tc>
        <w:tc>
          <w:tcPr>
            <w:tcW w:type="dxa" w:w="4680"/>
            <w:shd w:fill="E8EEF5"/>
            <w:tcW w:w="686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runtime@G:C</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Allocated runtime handle; unique within process while generation G is active.</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ui@G:C</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Ephemeral presentation instance identity; valid only for current session/UI generation.</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Local UI ID</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Stable authored element uses screen...#widget... and MAY be combined with an owning instance/context.</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Persistence</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runtime@ and ui@ MUST NOT enter canonical save, data definitions or durable event payloads.</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Stale check</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Generation mismatch returns StaleTransientId before lookup.</w:t>
            </w:r>
          </w:p>
        </w:tc>
      </w:tr>
    </w:tbl>
    <w:p>
      <w:pPr>
        <w:spacing w:after="0"/>
      </w:pPr>
    </w:p>
    <w:p>
      <w:r>
        <w:br w:type="page"/>
      </w:r>
    </w:p>
    <w:p>
      <w:pPr>
        <w:pStyle w:val="Heading1"/>
      </w:pPr>
      <w:r>
        <w:rPr>
          <w:rFonts w:ascii="DejaVu Sans" w:hAnsi="DejaVu Sans" w:eastAsia="DejaVu Sans"/>
          <w:b/>
          <w:i w:val="0"/>
          <w:color w:val="2E74B5"/>
          <w:sz w:val="32"/>
        </w:rPr>
        <w:t>14. Localization IDs</w:t>
      </w:r>
    </w:p>
    <w:p>
      <w:r>
        <w:rPr>
          <w:rFonts w:ascii="DejaVu Sans" w:hAnsi="DejaVu Sans" w:eastAsia="DejaVu Sans"/>
          <w:b w:val="0"/>
          <w:i w:val="0"/>
          <w:color w:val="111111"/>
          <w:sz w:val="20"/>
        </w:rPr>
        <w:t>Localization key использует ту же Stable ID system и является typed definition_id с type = text. Отдельная grammar, short key или filename-derived key не допускаются.</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text.core.ui.inventory.title</w:t>
            </w:r>
            <w:r>
              <w:br/>
            </w:r>
            <w:r>
              <w:rPr>
                <w:rFonts w:ascii="DejaVu Sans Mono" w:hAnsi="DejaVu Sans Mono" w:eastAsia="DejaVu Sans Mono"/>
                <w:b w:val="0"/>
                <w:i w:val="0"/>
                <w:color w:val="0B2545"/>
                <w:sz w:val="15"/>
              </w:rPr>
              <w:t>text.core.location.harbor.arrival</w:t>
            </w:r>
            <w:r>
              <w:br/>
            </w:r>
            <w:r>
              <w:rPr>
                <w:rFonts w:ascii="DejaVu Sans Mono" w:hAnsi="DejaVu Sans Mono" w:eastAsia="DejaVu Sans Mono"/>
                <w:b w:val="0"/>
                <w:i w:val="0"/>
                <w:color w:val="0B2545"/>
                <w:sz w:val="15"/>
              </w:rPr>
              <w:t>text.arena_expansion.race.commentary.final_lap</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200"/>
        <w:gridCol w:w="7160"/>
      </w:tblGrid>
      <w:tr>
        <w:trPr>
          <w:tblHeader w:val="true"/>
          <w:cantSplit/>
        </w:trPr>
        <w:tc>
          <w:tcPr>
            <w:tcW w:type="dxa" w:w="4680"/>
            <w:shd w:fill="E8EEF5"/>
            <w:tcW w:w="2200" w:type="dxa"/>
            <w:tcMar>
              <w:top w:w="80" w:type="dxa"/>
              <w:bottom w:w="80" w:type="dxa"/>
              <w:start w:w="120" w:type="dxa"/>
              <w:end w:w="120" w:type="dxa"/>
            </w:tcMar>
          </w:tcPr>
          <w:p>
            <w:pPr>
              <w:spacing w:after="0"/>
            </w:pPr>
            <w:r>
              <w:rPr>
                <w:rFonts w:ascii="DejaVu Sans" w:hAnsi="DejaVu Sans" w:eastAsia="DejaVu Sans"/>
                <w:b/>
                <w:i w:val="0"/>
                <w:color w:val="0B2545"/>
                <w:sz w:val="16"/>
              </w:rPr>
              <w:t>Rule</w:t>
            </w:r>
          </w:p>
        </w:tc>
        <w:tc>
          <w:tcPr>
            <w:tcW w:type="dxa" w:w="4680"/>
            <w:shd w:fill="E8EEF5"/>
            <w:tcW w:w="716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Expected type</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Поля text_id принимают только definition_id с type text.</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Catalog</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Locale catalogs индексируются canonical text_id; locale не входит в ID.</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Fallback</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Выбор locale/fallback не изменяет identity.</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Overrides</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Поздний package MAY override существующий text ID по общим provider rules.</w:t>
            </w:r>
          </w:p>
        </w:tc>
      </w:tr>
      <w:tr>
        <w:trPr>
          <w:cantSplit/>
        </w:trPr>
        <w:tc>
          <w:tcPr>
            <w:tcW w:type="dxa" w:w="4680"/>
            <w:vAlign w:val="center"/>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New text</w:t>
            </w:r>
          </w:p>
        </w:tc>
        <w:tc>
          <w:tcPr>
            <w:tcW w:type="dxa" w:w="4680"/>
            <w:vAlign w:val="center"/>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Package создаёт новый text ID только в собственном namespace.</w:t>
            </w:r>
          </w:p>
        </w:tc>
      </w:tr>
      <w:tr>
        <w:trPr>
          <w:cantSplit/>
        </w:trPr>
        <w:tc>
          <w:tcPr>
            <w:tcW w:type="dxa" w:w="4680"/>
            <w:vAlign w:val="center"/>
            <w:shd w:fill="FAFBFC"/>
            <w:tcW w:w="2200" w:type="dxa"/>
            <w:tcMar>
              <w:top w:w="80" w:type="dxa"/>
              <w:bottom w:w="80" w:type="dxa"/>
              <w:start w:w="120" w:type="dxa"/>
              <w:end w:w="120" w:type="dxa"/>
            </w:tcMar>
          </w:tcPr>
          <w:p>
            <w:pPr>
              <w:spacing w:after="0"/>
            </w:pPr>
            <w:r>
              <w:rPr>
                <w:rFonts w:ascii="DejaVu Sans" w:hAnsi="DejaVu Sans" w:eastAsia="DejaVu Sans"/>
                <w:b w:val="0"/>
                <w:i w:val="0"/>
                <w:color w:val="111111"/>
                <w:sz w:val="16"/>
              </w:rPr>
              <w:t>Redirect/reuse</w:t>
            </w:r>
          </w:p>
        </w:tc>
        <w:tc>
          <w:tcPr>
            <w:tcW w:type="dxa" w:w="4680"/>
            <w:vAlign w:val="center"/>
            <w:shd w:fill="FAFBFC"/>
            <w:tcW w:w="7160" w:type="dxa"/>
            <w:tcMar>
              <w:top w:w="80" w:type="dxa"/>
              <w:bottom w:w="80" w:type="dxa"/>
              <w:start w:w="120" w:type="dxa"/>
              <w:end w:w="120" w:type="dxa"/>
            </w:tcMar>
          </w:tcPr>
          <w:p>
            <w:pPr>
              <w:spacing w:after="0"/>
            </w:pPr>
            <w:r>
              <w:rPr>
                <w:rFonts w:ascii="DejaVu Sans" w:hAnsi="DejaVu Sans" w:eastAsia="DejaVu Sans"/>
                <w:b w:val="0"/>
                <w:i w:val="0"/>
                <w:color w:val="111111"/>
                <w:sz w:val="16"/>
              </w:rPr>
              <w:t>Применяются те же redirects, tombstones и intentional reuse semantics.</w:t>
            </w:r>
          </w:p>
        </w:tc>
      </w:tr>
    </w:tbl>
    <w:p>
      <w:pPr>
        <w:spacing w:after="0"/>
      </w:pPr>
    </w:p>
    <w:p>
      <w:pPr>
        <w:shd w:fill="F4F6F9"/>
        <w:spacing w:before="80" w:after="80"/>
        <w:ind w:left="101" w:right="101"/>
      </w:pPr>
      <w:r>
        <w:rPr>
          <w:rFonts w:ascii="DejaVu Sans" w:hAnsi="DejaVu Sans" w:eastAsia="DejaVu Sans"/>
          <w:b/>
          <w:i w:val="0"/>
          <w:color w:val="0B2545"/>
          <w:sz w:val="20"/>
        </w:rPr>
        <w:t xml:space="preserve">text_id — не display text. </w:t>
      </w:r>
      <w:r>
        <w:rPr>
          <w:rFonts w:ascii="DejaVu Sans" w:hAnsi="DejaVu Sans" w:eastAsia="DejaVu Sans"/>
          <w:b w:val="0"/>
          <w:i w:val="0"/>
          <w:color w:val="0B2545"/>
          <w:sz w:val="20"/>
        </w:rPr>
        <w:t>Stable ID никогда не показывается игроку как пользовательская строка. Отсутствующая localization выдаёт diagnostic placeholder, содержащий canonical text_id.</w:t>
      </w:r>
    </w:p>
    <w:p>
      <w:pPr>
        <w:pStyle w:val="Heading1"/>
      </w:pPr>
      <w:r>
        <w:rPr>
          <w:rFonts w:ascii="DejaVu Sans" w:hAnsi="DejaVu Sans" w:eastAsia="DejaVu Sans"/>
          <w:b/>
          <w:i w:val="0"/>
          <w:color w:val="2E74B5"/>
          <w:sz w:val="32"/>
        </w:rPr>
        <w:t>15. UE Primary Asset IDs</w:t>
      </w:r>
    </w:p>
    <w:p>
      <w:r>
        <w:rPr>
          <w:rFonts w:ascii="DejaVu Sans" w:hAnsi="DejaVu Sans" w:eastAsia="DejaVu Sans"/>
          <w:b w:val="0"/>
          <w:i w:val="0"/>
          <w:color w:val="111111"/>
          <w:sz w:val="20"/>
        </w:rPr>
        <w:t>UE Primary Asset ID и UObject path остаются независимыми внутренними identifiers. Stable ID не преобразуется в них по соглашению об имени. Любая связь задаётся явно в resolved definition или отдельном immutable Asset Mapping Index.</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Stable definition: character.core.aria</w:t>
            </w:r>
            <w:r>
              <w:br/>
            </w:r>
            <w:r>
              <w:rPr>
                <w:rFonts w:ascii="DejaVu Sans Mono" w:hAnsi="DejaVu Sans Mono" w:eastAsia="DejaVu Sans Mono"/>
                <w:b w:val="0"/>
                <w:i w:val="0"/>
                <w:color w:val="0B2545"/>
                <w:sz w:val="15"/>
              </w:rPr>
              <w:t>UE Primary Asset: Character:DA_Aria</w:t>
            </w:r>
            <w:r>
              <w:br/>
            </w:r>
            <w:r>
              <w:rPr>
                <w:rFonts w:ascii="DejaVu Sans Mono" w:hAnsi="DejaVu Sans Mono" w:eastAsia="DejaVu Sans Mono"/>
                <w:b w:val="0"/>
                <w:i w:val="0"/>
                <w:color w:val="0B2545"/>
                <w:sz w:val="15"/>
              </w:rPr>
              <w:t>Soft object path: /Game/Characters/Aria/DA_Aria.DA_Aria</w:t>
            </w:r>
            <w:r>
              <w:br/>
            </w:r>
            <w:r>
              <w:rPr>
                <w:rFonts w:ascii="DejaVu Sans Mono" w:hAnsi="DejaVu Sans Mono" w:eastAsia="DejaVu Sans Mono"/>
                <w:b w:val="0"/>
                <w:i w:val="0"/>
                <w:color w:val="0B2545"/>
                <w:sz w:val="15"/>
              </w:rPr>
            </w:r>
            <w:r>
              <w:br/>
            </w:r>
            <w:r>
              <w:rPr>
                <w:rFonts w:ascii="DejaVu Sans Mono" w:hAnsi="DejaVu Sans Mono" w:eastAsia="DejaVu Sans Mono"/>
                <w:b w:val="0"/>
                <w:i w:val="0"/>
                <w:color w:val="0B2545"/>
                <w:sz w:val="15"/>
              </w:rPr>
              <w:t>AssetMappingIndex["character.core.aria"] = FPrimaryAssetId("Character", "DA_Aria")</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500"/>
        <w:gridCol w:w="6860"/>
      </w:tblGrid>
      <w:tr>
        <w:trPr>
          <w:tblHeader w:val="true"/>
          <w:cantSplit/>
        </w:trPr>
        <w:tc>
          <w:tcPr>
            <w:tcW w:type="dxa" w:w="4680"/>
            <w:shd w:fill="E8EEF5"/>
            <w:tcW w:w="2500" w:type="dxa"/>
            <w:tcMar>
              <w:top w:w="80" w:type="dxa"/>
              <w:bottom w:w="80" w:type="dxa"/>
              <w:start w:w="120" w:type="dxa"/>
              <w:end w:w="120" w:type="dxa"/>
            </w:tcMar>
          </w:tcPr>
          <w:p>
            <w:pPr>
              <w:spacing w:after="0"/>
            </w:pPr>
            <w:r>
              <w:rPr>
                <w:rFonts w:ascii="DejaVu Sans" w:hAnsi="DejaVu Sans" w:eastAsia="DejaVu Sans"/>
                <w:b/>
                <w:i w:val="0"/>
                <w:color w:val="0B2545"/>
                <w:sz w:val="16"/>
              </w:rPr>
              <w:t>Boundary</w:t>
            </w:r>
          </w:p>
        </w:tc>
        <w:tc>
          <w:tcPr>
            <w:tcW w:type="dxa" w:w="4680"/>
            <w:shd w:fill="E8EEF5"/>
            <w:tcW w:w="6860" w:type="dxa"/>
            <w:tcMar>
              <w:top w:w="80" w:type="dxa"/>
              <w:bottom w:w="80" w:type="dxa"/>
              <w:start w:w="120" w:type="dxa"/>
              <w:end w:w="120" w:type="dxa"/>
            </w:tcMar>
          </w:tcPr>
          <w:p>
            <w:pPr>
              <w:spacing w:after="0"/>
            </w:pPr>
            <w:r>
              <w:rPr>
                <w:rFonts w:ascii="DejaVu Sans" w:hAnsi="DejaVu Sans" w:eastAsia="DejaVu Sans"/>
                <w:b/>
                <w:i w:val="0"/>
                <w:color w:val="0B2545"/>
                <w:sz w:val="16"/>
              </w:rPr>
              <w:t>Правило</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Repository/Lua/save/event</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Используют Stable ID; UE asset identity не сериализуется как gameplay identity.</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Asset loader</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Получает canonical Stable ID, читает explicit mapping и затем использует UE Asset Manager.</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Missing mapping</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Typed AssetMappingMissing; definition MAY оставаться valid, если asset optional.</w:t>
            </w:r>
          </w:p>
        </w:tc>
      </w:tr>
      <w:tr>
        <w:trPr>
          <w:cantSplit/>
        </w:trPr>
        <w:tc>
          <w:tcPr>
            <w:tcW w:type="dxa" w:w="4680"/>
            <w:vAlign w:val="center"/>
            <w:shd w:fill="FAFBFC"/>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Rename/move UE asset</w:t>
            </w:r>
          </w:p>
        </w:tc>
        <w:tc>
          <w:tcPr>
            <w:tcW w:type="dxa" w:w="4680"/>
            <w:vAlign w:val="center"/>
            <w:shd w:fill="FAFBFC"/>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Обновляется mapping; Stable ID не меняется.</w:t>
            </w:r>
          </w:p>
        </w:tc>
      </w:tr>
      <w:tr>
        <w:trPr>
          <w:cantSplit/>
        </w:trPr>
        <w:tc>
          <w:tcPr>
            <w:tcW w:type="dxa" w:w="4680"/>
            <w:vAlign w:val="center"/>
            <w:tcW w:w="2500" w:type="dxa"/>
            <w:tcMar>
              <w:top w:w="80" w:type="dxa"/>
              <w:bottom w:w="80" w:type="dxa"/>
              <w:start w:w="120" w:type="dxa"/>
              <w:end w:w="120" w:type="dxa"/>
            </w:tcMar>
          </w:tcPr>
          <w:p>
            <w:pPr>
              <w:spacing w:after="0"/>
            </w:pPr>
            <w:r>
              <w:rPr>
                <w:rFonts w:ascii="DejaVu Sans" w:hAnsi="DejaVu Sans" w:eastAsia="DejaVu Sans"/>
                <w:b w:val="0"/>
                <w:i w:val="0"/>
                <w:color w:val="111111"/>
                <w:sz w:val="16"/>
              </w:rPr>
              <w:t>Cook validation</w:t>
            </w:r>
          </w:p>
        </w:tc>
        <w:tc>
          <w:tcPr>
            <w:tcW w:type="dxa" w:w="4680"/>
            <w:vAlign w:val="center"/>
            <w:tcW w:w="6860" w:type="dxa"/>
            <w:tcMar>
              <w:top w:w="80" w:type="dxa"/>
              <w:bottom w:w="80" w:type="dxa"/>
              <w:start w:w="120" w:type="dxa"/>
              <w:end w:w="120" w:type="dxa"/>
            </w:tcMar>
          </w:tcPr>
          <w:p>
            <w:pPr>
              <w:spacing w:after="0"/>
            </w:pPr>
            <w:r>
              <w:rPr>
                <w:rFonts w:ascii="DejaVu Sans" w:hAnsi="DejaVu Sans" w:eastAsia="DejaVu Sans"/>
                <w:b w:val="0"/>
                <w:i w:val="0"/>
                <w:color w:val="111111"/>
                <w:sz w:val="16"/>
              </w:rPr>
              <w:t>Required mappings и referenced Primary Assets проверяются перед build/package.</w:t>
            </w:r>
          </w:p>
        </w:tc>
      </w:tr>
    </w:tbl>
    <w:p>
      <w:pPr>
        <w:spacing w:after="0"/>
      </w:pPr>
    </w:p>
    <w:p>
      <w:pPr>
        <w:pStyle w:val="Heading1"/>
      </w:pPr>
      <w:r>
        <w:rPr>
          <w:rFonts w:ascii="DejaVu Sans" w:hAnsi="DejaVu Sans" w:eastAsia="DejaVu Sans"/>
          <w:b/>
          <w:i w:val="0"/>
          <w:color w:val="2E74B5"/>
          <w:sz w:val="32"/>
        </w:rPr>
        <w:t>16. Exact C++ value types and API</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struct FDefinitionId { FString Canonical; };</w:t>
            </w:r>
            <w:r>
              <w:br/>
            </w:r>
            <w:r>
              <w:rPr>
                <w:rFonts w:ascii="DejaVu Sans Mono" w:hAnsi="DejaVu Sans Mono" w:eastAsia="DejaVu Sans Mono"/>
                <w:b w:val="0"/>
                <w:i w:val="0"/>
                <w:color w:val="0B2545"/>
                <w:sz w:val="15"/>
              </w:rPr>
              <w:t>struct FTextId       { FDefinitionId Value; };</w:t>
            </w:r>
            <w:r>
              <w:br/>
            </w:r>
            <w:r>
              <w:rPr>
                <w:rFonts w:ascii="DejaVu Sans Mono" w:hAnsi="DejaVu Sans Mono" w:eastAsia="DejaVu Sans Mono"/>
                <w:b w:val="0"/>
                <w:i w:val="0"/>
                <w:color w:val="0B2545"/>
                <w:sz w:val="15"/>
              </w:rPr>
              <w:t>struct FPackageId    { FString Canonical; };</w:t>
            </w:r>
            <w:r>
              <w:br/>
            </w:r>
            <w:r>
              <w:rPr>
                <w:rFonts w:ascii="DejaVu Sans Mono" w:hAnsi="DejaVu Sans Mono" w:eastAsia="DejaVu Sans Mono"/>
                <w:b w:val="0"/>
                <w:i w:val="0"/>
                <w:color w:val="0B2545"/>
                <w:sz w:val="15"/>
              </w:rPr>
              <w:t>struct FModuleId     { FString Canonical; };</w:t>
            </w:r>
            <w:r>
              <w:br/>
            </w:r>
            <w:r>
              <w:rPr>
                <w:rFonts w:ascii="DejaVu Sans Mono" w:hAnsi="DejaVu Sans Mono" w:eastAsia="DejaVu Sans Mono"/>
                <w:b w:val="0"/>
                <w:i w:val="0"/>
                <w:color w:val="0B2545"/>
                <w:sz w:val="15"/>
              </w:rPr>
              <w:t>struct FLocalChildId { FDefinitionId Owner; FString Kind; TArray&lt;FString&gt; Path; };</w:t>
            </w:r>
            <w:r>
              <w:br/>
            </w:r>
            <w:r>
              <w:rPr>
                <w:rFonts w:ascii="DejaVu Sans Mono" w:hAnsi="DejaVu Sans Mono" w:eastAsia="DejaVu Sans Mono"/>
                <w:b w:val="0"/>
                <w:i w:val="0"/>
                <w:color w:val="0B2545"/>
                <w:sz w:val="15"/>
              </w:rPr>
              <w:t>struct FInstanceId   { FName Type; uint64 Counter; };</w:t>
            </w:r>
            <w:r>
              <w:br/>
            </w:r>
            <w:r>
              <w:rPr>
                <w:rFonts w:ascii="DejaVu Sans Mono" w:hAnsi="DejaVu Sans Mono" w:eastAsia="DejaVu Sans Mono"/>
                <w:b w:val="0"/>
                <w:i w:val="0"/>
                <w:color w:val="0B2545"/>
                <w:sz w:val="15"/>
              </w:rPr>
              <w:t>struct FTransientId  { uint64 Generation; uint64 Counter; };</w:t>
            </w:r>
            <w:r>
              <w:br/>
            </w:r>
            <w:r>
              <w:rPr>
                <w:rFonts w:ascii="DejaVu Sans Mono" w:hAnsi="DejaVu Sans Mono" w:eastAsia="DejaVu Sans Mono"/>
                <w:b w:val="0"/>
                <w:i w:val="0"/>
                <w:color w:val="0B2545"/>
                <w:sz w:val="15"/>
              </w:rPr>
              <w:t>struct FUiElementId  { /* stable local or transient tagged union */ };</w:t>
            </w:r>
          </w:p>
        </w:tc>
      </w:tr>
    </w:tbl>
    <w:p>
      <w:pPr>
        <w:spacing w:after="0"/>
      </w:pPr>
    </w:p>
    <w:p>
      <w:r>
        <w:rPr>
          <w:rFonts w:ascii="DejaVu Sans" w:hAnsi="DejaVu Sans" w:eastAsia="DejaVu Sans"/>
          <w:b w:val="0"/>
          <w:i w:val="0"/>
          <w:color w:val="111111"/>
          <w:sz w:val="20"/>
        </w:rPr>
        <w:t>Wrapper types MUST быть разными C++ types и не передаваться как взаимозаменяемые FString/FName. Конструкторы из arbitrary string private; creation выполняется только parser/allocator.</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TResult&lt;FDefinitionId, FIdError&gt; ParseDefinitionId(FStringView Input);</w:t>
            </w:r>
            <w:r>
              <w:br/>
            </w:r>
            <w:r>
              <w:rPr>
                <w:rFonts w:ascii="DejaVu Sans Mono" w:hAnsi="DejaVu Sans Mono" w:eastAsia="DejaVu Sans Mono"/>
                <w:b w:val="0"/>
                <w:i w:val="0"/>
                <w:color w:val="0B2545"/>
                <w:sz w:val="15"/>
              </w:rPr>
              <w:t>TResult&lt;FPackageId, FIdError&gt; ParsePackageId(FStringView Input);</w:t>
            </w:r>
            <w:r>
              <w:br/>
            </w:r>
            <w:r>
              <w:rPr>
                <w:rFonts w:ascii="DejaVu Sans Mono" w:hAnsi="DejaVu Sans Mono" w:eastAsia="DejaVu Sans Mono"/>
                <w:b w:val="0"/>
                <w:i w:val="0"/>
                <w:color w:val="0B2545"/>
                <w:sz w:val="15"/>
              </w:rPr>
              <w:t>TResult&lt;FModuleId, FIdError&gt; ParseModuleId(FStringView Input);</w:t>
            </w:r>
            <w:r>
              <w:br/>
            </w:r>
            <w:r>
              <w:rPr>
                <w:rFonts w:ascii="DejaVu Sans Mono" w:hAnsi="DejaVu Sans Mono" w:eastAsia="DejaVu Sans Mono"/>
                <w:b w:val="0"/>
                <w:i w:val="0"/>
                <w:color w:val="0B2545"/>
                <w:sz w:val="15"/>
              </w:rPr>
              <w:t>TResult&lt;FLocalChildId, FIdError&gt; ParseLocalChildId(FStringView Input);</w:t>
            </w:r>
            <w:r>
              <w:br/>
            </w:r>
            <w:r>
              <w:rPr>
                <w:rFonts w:ascii="DejaVu Sans Mono" w:hAnsi="DejaVu Sans Mono" w:eastAsia="DejaVu Sans Mono"/>
                <w:b w:val="0"/>
                <w:i w:val="0"/>
                <w:color w:val="0B2545"/>
                <w:sz w:val="15"/>
              </w:rPr>
              <w:t>TResult&lt;FResolvedDefinition, FResolveError&gt; Resolve(</w:t>
            </w:r>
            <w:r>
              <w:br/>
            </w:r>
            <w:r>
              <w:rPr>
                <w:rFonts w:ascii="DejaVu Sans Mono" w:hAnsi="DejaVu Sans Mono" w:eastAsia="DejaVu Sans Mono"/>
                <w:b w:val="0"/>
                <w:i w:val="0"/>
                <w:color w:val="0B2545"/>
                <w:sz w:val="15"/>
              </w:rPr>
              <w:t xml:space="preserve">    const FDefinitionId&amp; Requested, FName ExpectedType);</w:t>
            </w:r>
            <w:r>
              <w:br/>
            </w:r>
            <w:r>
              <w:rPr>
                <w:rFonts w:ascii="DejaVu Sans Mono" w:hAnsi="DejaVu Sans Mono" w:eastAsia="DejaVu Sans Mono"/>
                <w:b w:val="0"/>
                <w:i w:val="0"/>
                <w:color w:val="0B2545"/>
                <w:sz w:val="15"/>
              </w:rPr>
              <w:t>FInstanceId AllocatePersistent(FName InstanceType);</w:t>
            </w:r>
            <w:r>
              <w:br/>
            </w:r>
            <w:r>
              <w:rPr>
                <w:rFonts w:ascii="DejaVu Sans Mono" w:hAnsi="DejaVu Sans Mono" w:eastAsia="DejaVu Sans Mono"/>
                <w:b w:val="0"/>
                <w:i w:val="0"/>
                <w:color w:val="0B2545"/>
                <w:sz w:val="15"/>
              </w:rPr>
              <w:t>FTransientId AllocateTransient(uint64 SessionGeneration);</w:t>
            </w:r>
          </w:p>
        </w:tc>
      </w:tr>
    </w:tbl>
    <w:p>
      <w:pPr>
        <w:spacing w:after="0"/>
      </w:pPr>
    </w:p>
    <w:p>
      <w:pPr>
        <w:pStyle w:val="Heading1"/>
      </w:pPr>
      <w:r>
        <w:rPr>
          <w:rFonts w:ascii="DejaVu Sans" w:hAnsi="DejaVu Sans" w:eastAsia="DejaVu Sans"/>
          <w:b/>
          <w:i w:val="0"/>
          <w:color w:val="2E74B5"/>
          <w:sz w:val="32"/>
        </w:rPr>
        <w:t>17. Lua representation</w:t>
      </w:r>
    </w:p>
    <w:p>
      <w:r>
        <w:rPr>
          <w:rFonts w:ascii="DejaVu Sans" w:hAnsi="DejaVu Sans" w:eastAsia="DejaVu Sans"/>
          <w:b w:val="0"/>
          <w:i w:val="0"/>
          <w:color w:val="111111"/>
          <w:sz w:val="20"/>
        </w:rPr>
        <w:t>Lua получает IDs как canonical strings. Host APIs parse и validate на входе; произвольная строка не становится trusted ID только потому, что была ранее возвращена module code.</w:t>
      </w:r>
    </w:p>
    <w:tbl>
      <w:tblPr>
        <w:tblW w:type="auto" w:w="0"/>
        <w:jc w:val="left"/>
        <w:tblLayout w:type="fixed"/>
        <w:tblLook w:firstColumn="1" w:firstRow="1" w:lastColumn="0" w:lastRow="0" w:noHBand="0" w:noVBand="1" w:val="04A0"/>
        <w:tblW w:w="9360" w:type="dxa"/>
        <w:tblInd w:w="120" w:type="dxa"/>
        <w:tblLayout w:type="fixed"/>
      </w:tblPr>
      <w:tblGrid>
        <w:gridCol w:w="9360"/>
      </w:tblGrid>
      <w:tr>
        <w:trPr>
          <w:cantSplit/>
        </w:trPr>
        <w:tc>
          <w:tcPr>
            <w:tcW w:type="dxa" w:w="9360"/>
            <w:shd w:fill="F4F6F9"/>
            <w:tcW w:w="9360" w:type="dxa"/>
            <w:tcMar>
              <w:top w:w="80" w:type="dxa"/>
              <w:bottom w:w="80" w:type="dxa"/>
              <w:start w:w="120" w:type="dxa"/>
              <w:end w:w="120" w:type="dxa"/>
            </w:tcMar>
          </w:tcPr>
          <w:p>
            <w:pPr>
              <w:spacing w:after="0" w:line="240" w:lineRule="auto"/>
            </w:pPr>
            <w:r>
              <w:rPr>
                <w:rFonts w:ascii="DejaVu Sans Mono" w:hAnsi="DejaVu Sans Mono" w:eastAsia="DejaVu Sans Mono"/>
                <w:b w:val="0"/>
                <w:i w:val="0"/>
                <w:color w:val="0B2545"/>
                <w:sz w:val="15"/>
              </w:rPr>
              <w:t>local item_id = "item.core.weapon.iron_sword"</w:t>
            </w:r>
            <w:r>
              <w:br/>
            </w:r>
            <w:r>
              <w:rPr>
                <w:rFonts w:ascii="DejaVu Sans Mono" w:hAnsi="DejaVu Sans Mono" w:eastAsia="DejaVu Sans Mono"/>
                <w:b w:val="0"/>
                <w:i w:val="0"/>
                <w:color w:val="0B2545"/>
                <w:sz w:val="15"/>
              </w:rPr>
              <w:t>local result = game.repository.get(item_id, "item")</w:t>
            </w:r>
            <w:r>
              <w:br/>
            </w:r>
            <w:r>
              <w:rPr>
                <w:rFonts w:ascii="DejaVu Sans Mono" w:hAnsi="DejaVu Sans Mono" w:eastAsia="DejaVu Sans Mono"/>
                <w:b w:val="0"/>
                <w:i w:val="0"/>
                <w:color w:val="0B2545"/>
                <w:sz w:val="15"/>
              </w:rPr>
              <w:t>if not result.ok then</w:t>
            </w:r>
            <w:r>
              <w:br/>
            </w:r>
            <w:r>
              <w:rPr>
                <w:rFonts w:ascii="DejaVu Sans Mono" w:hAnsi="DejaVu Sans Mono" w:eastAsia="DejaVu Sans Mono"/>
                <w:b w:val="0"/>
                <w:i w:val="0"/>
                <w:color w:val="0B2545"/>
                <w:sz w:val="15"/>
              </w:rPr>
              <w:t xml:space="preserve">  game.log.warn(result.error.code, { id = item_id })</w:t>
            </w:r>
            <w:r>
              <w:br/>
            </w:r>
            <w:r>
              <w:rPr>
                <w:rFonts w:ascii="DejaVu Sans Mono" w:hAnsi="DejaVu Sans Mono" w:eastAsia="DejaVu Sans Mono"/>
                <w:b w:val="0"/>
                <w:i w:val="0"/>
                <w:color w:val="0B2545"/>
                <w:sz w:val="15"/>
              </w:rPr>
              <w:t xml:space="preserve">  return result</w:t>
            </w:r>
            <w:r>
              <w:br/>
            </w:r>
            <w:r>
              <w:rPr>
                <w:rFonts w:ascii="DejaVu Sans Mono" w:hAnsi="DejaVu Sans Mono" w:eastAsia="DejaVu Sans Mono"/>
                <w:b w:val="0"/>
                <w:i w:val="0"/>
                <w:color w:val="0B2545"/>
                <w:sz w:val="15"/>
              </w:rPr>
              <w:t>end</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Layout w:type="fixed"/>
      </w:tblPr>
      <w:tblGrid>
        <w:gridCol w:w="2300"/>
        <w:gridCol w:w="7060"/>
      </w:tblGrid>
      <w:tr>
        <w:trPr>
          <w:tblHeader w:val="true"/>
          <w:cantSplit/>
        </w:trPr>
        <w:tc>
          <w:tcPr>
            <w:tcW w:type="dxa" w:w="4680"/>
            <w:shd w:fill="E8EEF5"/>
            <w:tcW w:w="2300" w:type="dxa"/>
            <w:tcMar>
              <w:top w:w="80" w:type="dxa"/>
              <w:bottom w:w="80" w:type="dxa"/>
              <w:start w:w="120" w:type="dxa"/>
              <w:end w:w="120" w:type="dxa"/>
            </w:tcMar>
          </w:tcPr>
          <w:p>
            <w:pPr>
              <w:spacing w:after="0"/>
            </w:pPr>
            <w:r>
              <w:rPr>
                <w:rFonts w:ascii="DejaVu Sans" w:hAnsi="DejaVu Sans" w:eastAsia="DejaVu Sans"/>
                <w:b/>
                <w:i w:val="0"/>
                <w:color w:val="0B2545"/>
                <w:sz w:val="16"/>
              </w:rPr>
              <w:t>API behavior</w:t>
            </w:r>
          </w:p>
        </w:tc>
        <w:tc>
          <w:tcPr>
            <w:tcW w:type="dxa" w:w="4680"/>
            <w:shd w:fill="E8EEF5"/>
            <w:tcW w:w="7060" w:type="dxa"/>
            <w:tcMar>
              <w:top w:w="80" w:type="dxa"/>
              <w:bottom w:w="80" w:type="dxa"/>
              <w:start w:w="120" w:type="dxa"/>
              <w:end w:w="120" w:type="dxa"/>
            </w:tcMar>
          </w:tcPr>
          <w:p>
            <w:pPr>
              <w:spacing w:after="0"/>
            </w:pPr>
            <w:r>
              <w:rPr>
                <w:rFonts w:ascii="DejaVu Sans" w:hAnsi="DejaVu Sans" w:eastAsia="DejaVu Sans"/>
                <w:b/>
                <w:i w:val="0"/>
                <w:color w:val="0B2545"/>
                <w:sz w:val="16"/>
              </w:rPr>
              <w:t>Норма</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Input</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Trim + lowercase canonicalization, exact parser, expected-type check.</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Output</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Canonical full string; short aliases не возвращаются.</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Redirect</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Result содержит requested_id, canonical_id и redirect_chain metadata.</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instance_id</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Opaque string для Lua; module не конструирует его самостоятельно.</w:t>
            </w:r>
          </w:p>
        </w:tc>
      </w:tr>
      <w:tr>
        <w:trPr>
          <w:cantSplit/>
        </w:trPr>
        <w:tc>
          <w:tcPr>
            <w:tcW w:type="dxa" w:w="4680"/>
            <w:vAlign w:val="center"/>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local child</w:t>
            </w:r>
          </w:p>
        </w:tc>
        <w:tc>
          <w:tcPr>
            <w:tcW w:type="dxa" w:w="4680"/>
            <w:vAlign w:val="center"/>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Полная owner#kind.path string на durable boundaries.</w:t>
            </w:r>
          </w:p>
        </w:tc>
      </w:tr>
      <w:tr>
        <w:trPr>
          <w:cantSplit/>
        </w:trPr>
        <w:tc>
          <w:tcPr>
            <w:tcW w:type="dxa" w:w="4680"/>
            <w:vAlign w:val="center"/>
            <w:shd w:fill="FAFBFC"/>
            <w:tcW w:w="2300" w:type="dxa"/>
            <w:tcMar>
              <w:top w:w="80" w:type="dxa"/>
              <w:bottom w:w="80" w:type="dxa"/>
              <w:start w:w="120" w:type="dxa"/>
              <w:end w:w="120" w:type="dxa"/>
            </w:tcMar>
          </w:tcPr>
          <w:p>
            <w:pPr>
              <w:spacing w:after="0"/>
            </w:pPr>
            <w:r>
              <w:rPr>
                <w:rFonts w:ascii="DejaVu Sans" w:hAnsi="DejaVu Sans" w:eastAsia="DejaVu Sans"/>
                <w:b w:val="0"/>
                <w:i w:val="0"/>
                <w:color w:val="111111"/>
                <w:sz w:val="16"/>
              </w:rPr>
              <w:t>transient/UI</w:t>
            </w:r>
          </w:p>
        </w:tc>
        <w:tc>
          <w:tcPr>
            <w:tcW w:type="dxa" w:w="4680"/>
            <w:vAlign w:val="center"/>
            <w:shd w:fill="FAFBFC"/>
            <w:tcW w:w="7060" w:type="dxa"/>
            <w:tcMar>
              <w:top w:w="80" w:type="dxa"/>
              <w:bottom w:w="80" w:type="dxa"/>
              <w:start w:w="120" w:type="dxa"/>
              <w:end w:w="120" w:type="dxa"/>
            </w:tcMar>
          </w:tcPr>
          <w:p>
            <w:pPr>
              <w:spacing w:after="0"/>
            </w:pPr>
            <w:r>
              <w:rPr>
                <w:rFonts w:ascii="DejaVu Sans" w:hAnsi="DejaVu Sans" w:eastAsia="DejaVu Sans"/>
                <w:b w:val="0"/>
                <w:i w:val="0"/>
                <w:color w:val="111111"/>
                <w:sz w:val="16"/>
              </w:rPr>
              <w:t>Host-created opaque string; stale generation rejected.</w:t>
            </w:r>
          </w:p>
        </w:tc>
      </w:tr>
    </w:tbl>
    <w:p>
      <w:pPr>
        <w:spacing w:after="0"/>
      </w:pPr>
    </w:p>
    <w:p>
      <w:pPr>
        <w:pStyle w:val="Heading1"/>
      </w:pPr>
      <w:r>
        <w:rPr>
          <w:rFonts w:ascii="DejaVu Sans" w:hAnsi="DejaVu Sans" w:eastAsia="DejaVu Sans"/>
          <w:b/>
          <w:i w:val="0"/>
          <w:color w:val="2E74B5"/>
          <w:sz w:val="32"/>
        </w:rPr>
        <w:t>18. Errors and diagnostics</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3350"/>
        <w:gridCol w:w="6010"/>
      </w:tblGrid>
      <w:tr>
        <w:trPr>
          <w:tblHeader w:val="true"/>
          <w:cantSplit/>
        </w:trPr>
        <w:tc>
          <w:tcPr>
            <w:tcW w:type="dxa" w:w="4680"/>
            <w:shd w:fill="E8EEF5"/>
            <w:tcW w:w="3350" w:type="dxa"/>
            <w:tcMar>
              <w:top w:w="80" w:type="dxa"/>
              <w:bottom w:w="80" w:type="dxa"/>
              <w:start w:w="120" w:type="dxa"/>
              <w:end w:w="120" w:type="dxa"/>
            </w:tcMar>
          </w:tcPr>
          <w:p>
            <w:pPr>
              <w:spacing w:after="0"/>
            </w:pPr>
            <w:r>
              <w:rPr>
                <w:rFonts w:ascii="DejaVu Sans" w:hAnsi="DejaVu Sans" w:eastAsia="DejaVu Sans"/>
                <w:b/>
                <w:i w:val="0"/>
                <w:color w:val="0B2545"/>
                <w:sz w:val="15"/>
              </w:rPr>
              <w:t>Code</w:t>
            </w:r>
          </w:p>
        </w:tc>
        <w:tc>
          <w:tcPr>
            <w:tcW w:type="dxa" w:w="4680"/>
            <w:shd w:fill="E8EEF5"/>
            <w:tcW w:w="6010" w:type="dxa"/>
            <w:tcMar>
              <w:top w:w="80" w:type="dxa"/>
              <w:bottom w:w="80" w:type="dxa"/>
              <w:start w:w="120" w:type="dxa"/>
              <w:end w:w="120" w:type="dxa"/>
            </w:tcMar>
          </w:tcPr>
          <w:p>
            <w:pPr>
              <w:spacing w:after="0"/>
            </w:pPr>
            <w:r>
              <w:rPr>
                <w:rFonts w:ascii="DejaVu Sans" w:hAnsi="DejaVu Sans" w:eastAsia="DejaVu Sans"/>
                <w:b/>
                <w:i w:val="0"/>
                <w:color w:val="0B2545"/>
                <w:sz w:val="15"/>
              </w:rPr>
              <w:t>Условие</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InvalidCharacter / NonAscii</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Недопустимый character или Unicode.</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InvalidSegmentStart / EmptySegment</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Segment нарушает grammar.</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TooFewSegments / TooLong</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Структура или length limit нарушены.</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UnknownType / TypeMismatch</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Type отсутствует или не совпадает с schema.</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UnknownId</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Active definition/redirect/tombstone отсутствует.</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ForeignNamespaceNewId</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Package создаёт новый ID вне собственного namespace.</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ReservedNamespace</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Мод объявляет core/engine/runtime/system своим namespace.</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TypeSchemaConflict</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Один type связан с несовместимыми loaders/schemas.</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RedirectConflict / RedirectTypeMismatch</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Redirect sources конфликтуют или меняют type.</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RedirectCycle</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Обнаружено повторное посещение source; содержит полный cycle path.</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DisabledId</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ID известен как tombstone/disabled; содержит reason/provider.</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ReusedPublishedId</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Tooling warning: historical ID назначен новому object.</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InvalidLocalKind / UnknownLocalId</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Local fragment запрещён schema или не существует.</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InvalidInstanceId / InstanceTypeMismatch</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Persistent instance grammar/type invalid.</w:t>
            </w:r>
          </w:p>
        </w:tc>
      </w:tr>
      <w:tr>
        <w:trPr>
          <w:cantSplit/>
        </w:trPr>
        <w:tc>
          <w:tcPr>
            <w:tcW w:type="dxa" w:w="4680"/>
            <w:vAlign w:val="center"/>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StaleTransientId</w:t>
            </w:r>
          </w:p>
        </w:tc>
        <w:tc>
          <w:tcPr>
            <w:tcW w:type="dxa" w:w="4680"/>
            <w:vAlign w:val="center"/>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Generation transient/UI ID не current.</w:t>
            </w:r>
          </w:p>
        </w:tc>
      </w:tr>
      <w:tr>
        <w:trPr>
          <w:cantSplit/>
        </w:trPr>
        <w:tc>
          <w:tcPr>
            <w:tcW w:type="dxa" w:w="4680"/>
            <w:vAlign w:val="center"/>
            <w:shd w:fill="FAFBFC"/>
            <w:tcW w:w="3350" w:type="dxa"/>
            <w:tcMar>
              <w:top w:w="80" w:type="dxa"/>
              <w:bottom w:w="80" w:type="dxa"/>
              <w:start w:w="120" w:type="dxa"/>
              <w:end w:w="120" w:type="dxa"/>
            </w:tcMar>
          </w:tcPr>
          <w:p>
            <w:pPr>
              <w:spacing w:after="0"/>
            </w:pPr>
            <w:r>
              <w:rPr>
                <w:rFonts w:ascii="DejaVu Sans" w:hAnsi="DejaVu Sans" w:eastAsia="DejaVu Sans"/>
                <w:b w:val="0"/>
                <w:i w:val="0"/>
                <w:color w:val="111111"/>
                <w:sz w:val="15"/>
              </w:rPr>
              <w:t>AssetMappingMissing</w:t>
            </w:r>
          </w:p>
        </w:tc>
        <w:tc>
          <w:tcPr>
            <w:tcW w:type="dxa" w:w="4680"/>
            <w:vAlign w:val="center"/>
            <w:shd w:fill="FAFBFC"/>
            <w:tcW w:w="6010" w:type="dxa"/>
            <w:tcMar>
              <w:top w:w="80" w:type="dxa"/>
              <w:bottom w:w="80" w:type="dxa"/>
              <w:start w:w="120" w:type="dxa"/>
              <w:end w:w="120" w:type="dxa"/>
            </w:tcMar>
          </w:tcPr>
          <w:p>
            <w:pPr>
              <w:spacing w:after="0"/>
            </w:pPr>
            <w:r>
              <w:rPr>
                <w:rFonts w:ascii="DejaVu Sans" w:hAnsi="DejaVu Sans" w:eastAsia="DejaVu Sans"/>
                <w:b w:val="0"/>
                <w:i w:val="0"/>
                <w:color w:val="111111"/>
                <w:sz w:val="15"/>
              </w:rPr>
              <w:t>Нет required mapping Stable ID → UE Primary Asset ID.</w:t>
            </w:r>
          </w:p>
        </w:tc>
      </w:tr>
    </w:tbl>
    <w:p>
      <w:pPr>
        <w:spacing w:after="0"/>
      </w:pPr>
    </w:p>
    <w:p>
      <w:pPr>
        <w:pStyle w:val="Heading2"/>
      </w:pPr>
      <w:r>
        <w:rPr>
          <w:rFonts w:ascii="DejaVu Sans" w:hAnsi="DejaVu Sans" w:eastAsia="DejaVu Sans"/>
          <w:b/>
          <w:i w:val="0"/>
          <w:color w:val="2E74B5"/>
          <w:sz w:val="26"/>
        </w:rPr>
        <w:t>18.1 Diagnostic path</w:t>
      </w:r>
    </w:p>
    <w:p>
      <w:r>
        <w:rPr>
          <w:rFonts w:ascii="DejaVu Sans" w:hAnsi="DejaVu Sans" w:eastAsia="DejaVu Sans"/>
          <w:b w:val="0"/>
          <w:i w:val="0"/>
          <w:color w:val="111111"/>
          <w:sz w:val="20"/>
        </w:rPr>
        <w:t>Каждая data validation error MUST содержать package_id, package-relative source, JSON path, raw input, canonicalized input (если получен), expected type, provider provenance и redirect chain. User-facing diagnostics не раскрывают absolute filesystem paths.</w:t>
      </w:r>
    </w:p>
    <w:p>
      <w:pPr>
        <w:pStyle w:val="Heading1"/>
      </w:pPr>
      <w:r>
        <w:rPr>
          <w:rFonts w:ascii="DejaVu Sans" w:hAnsi="DejaVu Sans" w:eastAsia="DejaVu Sans"/>
          <w:b/>
          <w:i w:val="0"/>
          <w:color w:val="2E74B5"/>
          <w:sz w:val="32"/>
        </w:rPr>
        <w:t>19. Serialization and compatibility</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600"/>
        <w:gridCol w:w="6760"/>
      </w:tblGrid>
      <w:tr>
        <w:trPr>
          <w:tblHeader w:val="true"/>
          <w:cantSplit/>
        </w:trPr>
        <w:tc>
          <w:tcPr>
            <w:tcW w:type="dxa" w:w="4680"/>
            <w:shd w:fill="E8EEF5"/>
            <w:tcW w:w="2600" w:type="dxa"/>
            <w:tcMar>
              <w:top w:w="80" w:type="dxa"/>
              <w:bottom w:w="80" w:type="dxa"/>
              <w:start w:w="120" w:type="dxa"/>
              <w:end w:w="120" w:type="dxa"/>
            </w:tcMar>
          </w:tcPr>
          <w:p>
            <w:pPr>
              <w:spacing w:after="0"/>
            </w:pPr>
            <w:r>
              <w:rPr>
                <w:rFonts w:ascii="DejaVu Sans" w:hAnsi="DejaVu Sans" w:eastAsia="DejaVu Sans"/>
                <w:b/>
                <w:i w:val="0"/>
                <w:color w:val="0B2545"/>
                <w:sz w:val="15"/>
              </w:rPr>
              <w:t>Boundary</w:t>
            </w:r>
          </w:p>
        </w:tc>
        <w:tc>
          <w:tcPr>
            <w:tcW w:type="dxa" w:w="4680"/>
            <w:shd w:fill="E8EEF5"/>
            <w:tcW w:w="6760" w:type="dxa"/>
            <w:tcMar>
              <w:top w:w="80" w:type="dxa"/>
              <w:bottom w:w="80" w:type="dxa"/>
              <w:start w:w="120" w:type="dxa"/>
              <w:end w:w="120" w:type="dxa"/>
            </w:tcMar>
          </w:tcPr>
          <w:p>
            <w:pPr>
              <w:spacing w:after="0"/>
            </w:pPr>
            <w:r>
              <w:rPr>
                <w:rFonts w:ascii="DejaVu Sans" w:hAnsi="DejaVu Sans" w:eastAsia="DejaVu Sans"/>
                <w:b/>
                <w:i w:val="0"/>
                <w:color w:val="0B2545"/>
                <w:sz w:val="15"/>
              </w:rPr>
              <w:t>Serialized form</w:t>
            </w:r>
          </w:p>
        </w:tc>
      </w:tr>
      <w:tr>
        <w:trPr>
          <w:cantSplit/>
        </w:trPr>
        <w:tc>
          <w:tcPr>
            <w:tcW w:type="dxa" w:w="4680"/>
            <w:vAlign w:val="center"/>
            <w:tcW w:w="2600" w:type="dxa"/>
            <w:tcMar>
              <w:top w:w="80" w:type="dxa"/>
              <w:bottom w:w="80" w:type="dxa"/>
              <w:start w:w="120" w:type="dxa"/>
              <w:end w:w="120" w:type="dxa"/>
            </w:tcMar>
          </w:tcPr>
          <w:p>
            <w:pPr>
              <w:spacing w:after="0"/>
            </w:pPr>
            <w:r>
              <w:rPr>
                <w:rFonts w:ascii="DejaVu Sans" w:hAnsi="DejaVu Sans" w:eastAsia="DejaVu Sans"/>
                <w:b w:val="0"/>
                <w:i w:val="0"/>
                <w:color w:val="111111"/>
                <w:sz w:val="15"/>
              </w:rPr>
              <w:t>JSON5 definitions</w:t>
            </w:r>
          </w:p>
        </w:tc>
        <w:tc>
          <w:tcPr>
            <w:tcW w:type="dxa" w:w="4680"/>
            <w:vAlign w:val="center"/>
            <w:tcW w:w="6760" w:type="dxa"/>
            <w:tcMar>
              <w:top w:w="80" w:type="dxa"/>
              <w:bottom w:w="80" w:type="dxa"/>
              <w:start w:w="120" w:type="dxa"/>
              <w:end w:w="120" w:type="dxa"/>
            </w:tcMar>
          </w:tcPr>
          <w:p>
            <w:pPr>
              <w:spacing w:after="0"/>
            </w:pPr>
            <w:r>
              <w:rPr>
                <w:rFonts w:ascii="DejaVu Sans" w:hAnsi="DejaVu Sans" w:eastAsia="DejaVu Sans"/>
                <w:b w:val="0"/>
                <w:i w:val="0"/>
                <w:color w:val="111111"/>
                <w:sz w:val="15"/>
              </w:rPr>
              <w:t>Canonical full definition/local ID strings.</w:t>
            </w:r>
          </w:p>
        </w:tc>
      </w:tr>
      <w:tr>
        <w:trPr>
          <w:cantSplit/>
        </w:trPr>
        <w:tc>
          <w:tcPr>
            <w:tcW w:type="dxa" w:w="4680"/>
            <w:vAlign w:val="center"/>
            <w:shd w:fill="FAFBFC"/>
            <w:tcW w:w="2600" w:type="dxa"/>
            <w:tcMar>
              <w:top w:w="80" w:type="dxa"/>
              <w:bottom w:w="80" w:type="dxa"/>
              <w:start w:w="120" w:type="dxa"/>
              <w:end w:w="120" w:type="dxa"/>
            </w:tcMar>
          </w:tcPr>
          <w:p>
            <w:pPr>
              <w:spacing w:after="0"/>
            </w:pPr>
            <w:r>
              <w:rPr>
                <w:rFonts w:ascii="DejaVu Sans" w:hAnsi="DejaVu Sans" w:eastAsia="DejaVu Sans"/>
                <w:b w:val="0"/>
                <w:i w:val="0"/>
                <w:color w:val="111111"/>
                <w:sz w:val="15"/>
              </w:rPr>
              <w:t>Canonical save</w:t>
            </w:r>
          </w:p>
        </w:tc>
        <w:tc>
          <w:tcPr>
            <w:tcW w:type="dxa" w:w="4680"/>
            <w:vAlign w:val="center"/>
            <w:shd w:fill="FAFBFC"/>
            <w:tcW w:w="6760" w:type="dxa"/>
            <w:tcMar>
              <w:top w:w="80" w:type="dxa"/>
              <w:bottom w:w="80" w:type="dxa"/>
              <w:start w:w="120" w:type="dxa"/>
              <w:end w:w="120" w:type="dxa"/>
            </w:tcMar>
          </w:tcPr>
          <w:p>
            <w:pPr>
              <w:spacing w:after="0"/>
            </w:pPr>
            <w:r>
              <w:rPr>
                <w:rFonts w:ascii="DejaVu Sans" w:hAnsi="DejaVu Sans" w:eastAsia="DejaVu Sans"/>
                <w:b w:val="0"/>
                <w:i w:val="0"/>
                <w:color w:val="111111"/>
                <w:sz w:val="15"/>
              </w:rPr>
              <w:t>Canonical targets после redirects; persistent instance allocator state.</w:t>
            </w:r>
          </w:p>
        </w:tc>
      </w:tr>
      <w:tr>
        <w:trPr>
          <w:cantSplit/>
        </w:trPr>
        <w:tc>
          <w:tcPr>
            <w:tcW w:type="dxa" w:w="4680"/>
            <w:vAlign w:val="center"/>
            <w:tcW w:w="2600" w:type="dxa"/>
            <w:tcMar>
              <w:top w:w="80" w:type="dxa"/>
              <w:bottom w:w="80" w:type="dxa"/>
              <w:start w:w="120" w:type="dxa"/>
              <w:end w:w="120" w:type="dxa"/>
            </w:tcMar>
          </w:tcPr>
          <w:p>
            <w:pPr>
              <w:spacing w:after="0"/>
            </w:pPr>
            <w:r>
              <w:rPr>
                <w:rFonts w:ascii="DejaVu Sans" w:hAnsi="DejaVu Sans" w:eastAsia="DejaVu Sans"/>
                <w:b w:val="0"/>
                <w:i w:val="0"/>
                <w:color w:val="111111"/>
                <w:sz w:val="15"/>
              </w:rPr>
              <w:t>Events/commands</w:t>
            </w:r>
          </w:p>
        </w:tc>
        <w:tc>
          <w:tcPr>
            <w:tcW w:type="dxa" w:w="4680"/>
            <w:vAlign w:val="center"/>
            <w:tcW w:w="6760" w:type="dxa"/>
            <w:tcMar>
              <w:top w:w="80" w:type="dxa"/>
              <w:bottom w:w="80" w:type="dxa"/>
              <w:start w:w="120" w:type="dxa"/>
              <w:end w:w="120" w:type="dxa"/>
            </w:tcMar>
          </w:tcPr>
          <w:p>
            <w:pPr>
              <w:spacing w:after="0"/>
            </w:pPr>
            <w:r>
              <w:rPr>
                <w:rFonts w:ascii="DejaVu Sans" w:hAnsi="DejaVu Sans" w:eastAsia="DejaVu Sans"/>
                <w:b w:val="0"/>
                <w:i w:val="0"/>
                <w:color w:val="111111"/>
                <w:sz w:val="15"/>
              </w:rPr>
              <w:t>Full IDs; schema определяет expected class/type.</w:t>
            </w:r>
          </w:p>
        </w:tc>
      </w:tr>
      <w:tr>
        <w:trPr>
          <w:cantSplit/>
        </w:trPr>
        <w:tc>
          <w:tcPr>
            <w:tcW w:type="dxa" w:w="4680"/>
            <w:vAlign w:val="center"/>
            <w:shd w:fill="FAFBFC"/>
            <w:tcW w:w="2600" w:type="dxa"/>
            <w:tcMar>
              <w:top w:w="80" w:type="dxa"/>
              <w:bottom w:w="80" w:type="dxa"/>
              <w:start w:w="120" w:type="dxa"/>
              <w:end w:w="120" w:type="dxa"/>
            </w:tcMar>
          </w:tcPr>
          <w:p>
            <w:pPr>
              <w:spacing w:after="0"/>
            </w:pPr>
            <w:r>
              <w:rPr>
                <w:rFonts w:ascii="DejaVu Sans" w:hAnsi="DejaVu Sans" w:eastAsia="DejaVu Sans"/>
                <w:b w:val="0"/>
                <w:i w:val="0"/>
                <w:color w:val="111111"/>
                <w:sz w:val="15"/>
              </w:rPr>
              <w:t>Logs</w:t>
            </w:r>
          </w:p>
        </w:tc>
        <w:tc>
          <w:tcPr>
            <w:tcW w:type="dxa" w:w="4680"/>
            <w:vAlign w:val="center"/>
            <w:shd w:fill="FAFBFC"/>
            <w:tcW w:w="6760" w:type="dxa"/>
            <w:tcMar>
              <w:top w:w="80" w:type="dxa"/>
              <w:bottom w:w="80" w:type="dxa"/>
              <w:start w:w="120" w:type="dxa"/>
              <w:end w:w="120" w:type="dxa"/>
            </w:tcMar>
          </w:tcPr>
          <w:p>
            <w:pPr>
              <w:spacing w:after="0"/>
            </w:pPr>
            <w:r>
              <w:rPr>
                <w:rFonts w:ascii="DejaVu Sans" w:hAnsi="DejaVu Sans" w:eastAsia="DejaVu Sans"/>
                <w:b w:val="0"/>
                <w:i w:val="0"/>
                <w:color w:val="111111"/>
                <w:sz w:val="15"/>
              </w:rPr>
              <w:t>Canonical ID; requested_id дополнительно при redirect или parse normalization.</w:t>
            </w:r>
          </w:p>
        </w:tc>
      </w:tr>
      <w:tr>
        <w:trPr>
          <w:cantSplit/>
        </w:trPr>
        <w:tc>
          <w:tcPr>
            <w:tcW w:type="dxa" w:w="4680"/>
            <w:vAlign w:val="center"/>
            <w:tcW w:w="2600" w:type="dxa"/>
            <w:tcMar>
              <w:top w:w="80" w:type="dxa"/>
              <w:bottom w:w="80" w:type="dxa"/>
              <w:start w:w="120" w:type="dxa"/>
              <w:end w:w="120" w:type="dxa"/>
            </w:tcMar>
          </w:tcPr>
          <w:p>
            <w:pPr>
              <w:spacing w:after="0"/>
            </w:pPr>
            <w:r>
              <w:rPr>
                <w:rFonts w:ascii="DejaVu Sans" w:hAnsi="DejaVu Sans" w:eastAsia="DejaVu Sans"/>
                <w:b w:val="0"/>
                <w:i w:val="0"/>
                <w:color w:val="111111"/>
                <w:sz w:val="15"/>
              </w:rPr>
              <w:t>Network</w:t>
            </w:r>
          </w:p>
        </w:tc>
        <w:tc>
          <w:tcPr>
            <w:tcW w:type="dxa" w:w="4680"/>
            <w:vAlign w:val="center"/>
            <w:tcW w:w="6760" w:type="dxa"/>
            <w:tcMar>
              <w:top w:w="80" w:type="dxa"/>
              <w:bottom w:w="80" w:type="dxa"/>
              <w:start w:w="120" w:type="dxa"/>
              <w:end w:w="120" w:type="dxa"/>
            </w:tcMar>
          </w:tcPr>
          <w:p>
            <w:pPr>
              <w:spacing w:after="0"/>
            </w:pPr>
            <w:r>
              <w:rPr>
                <w:rFonts w:ascii="DejaVu Sans" w:hAnsi="DejaVu Sans" w:eastAsia="DejaVu Sans"/>
                <w:b w:val="0"/>
                <w:i w:val="0"/>
                <w:color w:val="111111"/>
                <w:sz w:val="15"/>
              </w:rPr>
              <w:t>В v1 отсутствует; будущий protocol не может полагаться на UE asset identity.</w:t>
            </w:r>
          </w:p>
        </w:tc>
      </w:tr>
    </w:tbl>
    <w:p>
      <w:pPr>
        <w:spacing w:after="0"/>
      </w:pPr>
    </w:p>
    <w:p>
      <w:pPr>
        <w:shd w:fill="F5DADA"/>
        <w:spacing w:before="80" w:after="80"/>
        <w:ind w:left="101" w:right="101"/>
      </w:pPr>
      <w:r>
        <w:rPr>
          <w:rFonts w:ascii="DejaVu Sans" w:hAnsi="DejaVu Sans" w:eastAsia="DejaVu Sans"/>
          <w:b/>
          <w:i w:val="0"/>
          <w:color w:val="0B2545"/>
          <w:sz w:val="20"/>
        </w:rPr>
        <w:t xml:space="preserve">Compatibility guarantee. </w:t>
      </w:r>
      <w:r>
        <w:rPr>
          <w:rFonts w:ascii="DejaVu Sans" w:hAnsi="DejaVu Sans" w:eastAsia="DejaVu Sans"/>
          <w:b w:val="0"/>
          <w:i w:val="0"/>
          <w:color w:val="0B2545"/>
          <w:sz w:val="20"/>
        </w:rPr>
        <w:t>Rename с redirect сохраняет logical continuity. Removal + reuse намеренно не сохраняет её. Спецификация гарантирует детерминированное разрешение, но не обещает, что published string навсегда обозначает прежнюю семантику.</w:t>
      </w:r>
    </w:p>
    <w:p>
      <w:pPr>
        <w:pStyle w:val="Heading1"/>
      </w:pPr>
      <w:r>
        <w:rPr>
          <w:rFonts w:ascii="DejaVu Sans" w:hAnsi="DejaVu Sans" w:eastAsia="DejaVu Sans"/>
          <w:b/>
          <w:i w:val="0"/>
          <w:color w:val="2E74B5"/>
          <w:sz w:val="32"/>
        </w:rPr>
        <w:t>20. Mandatory conformance tests</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100"/>
        <w:gridCol w:w="7260"/>
      </w:tblGrid>
      <w:tr>
        <w:trPr>
          <w:tblHeader w:val="true"/>
          <w:cantSplit/>
        </w:trPr>
        <w:tc>
          <w:tcPr>
            <w:tcW w:type="dxa" w:w="4680"/>
            <w:shd w:fill="E8EEF5"/>
            <w:tcW w:w="2100" w:type="dxa"/>
            <w:tcMar>
              <w:top w:w="80" w:type="dxa"/>
              <w:bottom w:w="80" w:type="dxa"/>
              <w:start w:w="120" w:type="dxa"/>
              <w:end w:w="120" w:type="dxa"/>
            </w:tcMar>
          </w:tcPr>
          <w:p>
            <w:pPr>
              <w:spacing w:after="0"/>
            </w:pPr>
            <w:r>
              <w:rPr>
                <w:rFonts w:ascii="DejaVu Sans" w:hAnsi="DejaVu Sans" w:eastAsia="DejaVu Sans"/>
                <w:b/>
                <w:i w:val="0"/>
                <w:color w:val="0B2545"/>
                <w:sz w:val="15"/>
              </w:rPr>
              <w:t>Test</w:t>
            </w:r>
          </w:p>
        </w:tc>
        <w:tc>
          <w:tcPr>
            <w:tcW w:type="dxa" w:w="4680"/>
            <w:shd w:fill="E8EEF5"/>
            <w:tcW w:w="7260" w:type="dxa"/>
            <w:tcMar>
              <w:top w:w="80" w:type="dxa"/>
              <w:bottom w:w="80" w:type="dxa"/>
              <w:start w:w="120" w:type="dxa"/>
              <w:end w:w="120" w:type="dxa"/>
            </w:tcMar>
          </w:tcPr>
          <w:p>
            <w:pPr>
              <w:spacing w:after="0"/>
            </w:pPr>
            <w:r>
              <w:rPr>
                <w:rFonts w:ascii="DejaVu Sans" w:hAnsi="DejaVu Sans" w:eastAsia="DejaVu Sans"/>
                <w:b/>
                <w:i w:val="0"/>
                <w:color w:val="0B2545"/>
                <w:sz w:val="15"/>
              </w:rPr>
              <w:t>Acceptance criterion</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ID-01 Parser property tests</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Formatter output всегда parseable/canonical; invalid Unicode/punctuation rejected.</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ID-02 Canonicalization</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Outer trim + ASCII lowercase only; internal whitespace не исправляется.</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ID-03 Length boundaries</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1/64 segment и 192 full accepted; соседние invalid values rejected.</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ID-04 Hierarchical path</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Три и более segments round-trip без связи с filesystem.</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ID-05 Case collision</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Mixed-case inputs коллидируют после canonicalization.</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ID-06 Implicit type</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Первая definition создаёт type; incompatible schema registration fails.</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ID-07 Namespace ownership</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Own creation accepted; foreign new ID rejected; foreign existing override accepted.</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ID-08 Reserved namespace</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Мод не владеет reserved namespace, но legal override проходит.</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ID-09 Full override</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Последний provider заменяет весь object; provenance сохраняет stack.</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ID-10 Typed reference</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Type mismatch и malformed optional reference block publication.</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ID-11 Snapshot gate</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Broken required reference не публикует candidate snapshot.</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ID-12 Redirect chain</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Длинная acyclic chain без artificial limit разрешается и canonicalizes.</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ID-13 Redirect cycle</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Visited-set обнаруживает cycle и возвращает полный path.</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ID-14 Redirect conflict</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Active source или две targets rejected deterministically.</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ID-15 Tombstone</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Known disabled ID возвращает DisabledId без provider fallback.</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ID-16 Intentional reuse</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Removed ID может получить новый object; old save resolves new semantics; warning advisory.</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ID-17 Local identity</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owner#kind.path validates owner, kind и nested path.</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ID-18 Instance allocator</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Counter survives save/load, deterministic и never reused after deletion.</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ID-19 Singleton</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Definition и instance IDs остаются разными.</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ID-20 Transient generation</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Stale runtime/ui generation rejected and never serialized.</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ID-21 Localization</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text IDs follow global grammar/type/override/redirect rules.</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ID-22 UE mapping</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Asset rename changes mapping only; save Stable ID unchanged.</w:t>
            </w:r>
          </w:p>
        </w:tc>
      </w:tr>
      <w:tr>
        <w:trPr>
          <w:cantSplit/>
        </w:trPr>
        <w:tc>
          <w:tcPr>
            <w:tcW w:type="dxa" w:w="4680"/>
            <w:vAlign w:val="center"/>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ID-23 C++ type safety</w:t>
            </w:r>
          </w:p>
        </w:tc>
        <w:tc>
          <w:tcPr>
            <w:tcW w:type="dxa" w:w="4680"/>
            <w:vAlign w:val="center"/>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Wrappers не конвертируются неявно между ID classes/FString.</w:t>
            </w:r>
          </w:p>
        </w:tc>
      </w:tr>
      <w:tr>
        <w:trPr>
          <w:cantSplit/>
        </w:trPr>
        <w:tc>
          <w:tcPr>
            <w:tcW w:type="dxa" w:w="4680"/>
            <w:vAlign w:val="center"/>
            <w:shd w:fill="FAFBFC"/>
            <w:tcW w:w="2100" w:type="dxa"/>
            <w:tcMar>
              <w:top w:w="80" w:type="dxa"/>
              <w:bottom w:w="80" w:type="dxa"/>
              <w:start w:w="120" w:type="dxa"/>
              <w:end w:w="120" w:type="dxa"/>
            </w:tcMar>
          </w:tcPr>
          <w:p>
            <w:pPr>
              <w:spacing w:after="0"/>
            </w:pPr>
            <w:r>
              <w:rPr>
                <w:rFonts w:ascii="DejaVu Sans" w:hAnsi="DejaVu Sans" w:eastAsia="DejaVu Sans"/>
                <w:b w:val="0"/>
                <w:i w:val="0"/>
                <w:color w:val="111111"/>
                <w:sz w:val="15"/>
              </w:rPr>
              <w:t>ID-24 Determinism</w:t>
            </w:r>
          </w:p>
        </w:tc>
        <w:tc>
          <w:tcPr>
            <w:tcW w:type="dxa" w:w="4680"/>
            <w:vAlign w:val="center"/>
            <w:shd w:fill="FAFBFC"/>
            <w:tcW w:w="7260" w:type="dxa"/>
            <w:tcMar>
              <w:top w:w="80" w:type="dxa"/>
              <w:bottom w:w="80" w:type="dxa"/>
              <w:start w:w="120" w:type="dxa"/>
              <w:end w:w="120" w:type="dxa"/>
            </w:tcMar>
          </w:tcPr>
          <w:p>
            <w:pPr>
              <w:spacing w:after="0"/>
            </w:pPr>
            <w:r>
              <w:rPr>
                <w:rFonts w:ascii="DejaVu Sans" w:hAnsi="DejaVu Sans" w:eastAsia="DejaVu Sans"/>
                <w:b w:val="0"/>
                <w:i w:val="0"/>
                <w:color w:val="111111"/>
                <w:sz w:val="15"/>
              </w:rPr>
              <w:t>Same packages/load order yield byte-identical indexes and diagnostics order.</w:t>
            </w:r>
          </w:p>
        </w:tc>
      </w:tr>
    </w:tbl>
    <w:p>
      <w:pPr>
        <w:spacing w:after="0"/>
      </w:pPr>
    </w:p>
    <w:p>
      <w:pPr>
        <w:pStyle w:val="Heading2"/>
      </w:pPr>
      <w:r>
        <w:rPr>
          <w:rFonts w:ascii="DejaVu Sans" w:hAnsi="DejaVu Sans" w:eastAsia="DejaVu Sans"/>
          <w:b/>
          <w:i w:val="0"/>
          <w:color w:val="2E74B5"/>
          <w:sz w:val="26"/>
        </w:rPr>
        <w:t>20.1 Implementation checklist</w:t>
      </w:r>
    </w:p>
    <w:p>
      <w:pPr>
        <w:pStyle w:val="ListBullet"/>
      </w:pPr>
      <w:r>
        <w:rPr>
          <w:rFonts w:ascii="DejaVu Sans" w:hAnsi="DejaVu Sans" w:eastAsia="DejaVu Sans"/>
          <w:b w:val="0"/>
          <w:i w:val="0"/>
          <w:color w:val="111111"/>
          <w:sz w:val="20"/>
        </w:rPr>
        <w:t xml:space="preserve"> Один canonical parser используется JSON5 loader, Lua Bridge, saves, events и tooling.</w:t>
      </w:r>
    </w:p>
    <w:p>
      <w:pPr>
        <w:pStyle w:val="ListBullet"/>
      </w:pPr>
      <w:r>
        <w:rPr>
          <w:rFonts w:ascii="DejaVu Sans" w:hAnsi="DejaVu Sans" w:eastAsia="DejaVu Sans"/>
          <w:b w:val="0"/>
          <w:i w:val="0"/>
          <w:color w:val="111111"/>
          <w:sz w:val="20"/>
        </w:rPr>
        <w:t xml:space="preserve"> Provider selection получает только resolved package load order.</w:t>
      </w:r>
    </w:p>
    <w:p>
      <w:pPr>
        <w:pStyle w:val="ListBullet"/>
      </w:pPr>
      <w:r>
        <w:rPr>
          <w:rFonts w:ascii="DejaVu Sans" w:hAnsi="DejaVu Sans" w:eastAsia="DejaVu Sans"/>
          <w:b w:val="0"/>
          <w:i w:val="0"/>
          <w:color w:val="111111"/>
          <w:sz w:val="20"/>
        </w:rPr>
        <w:t xml:space="preserve"> Redirect resolver использует visited set без depth limit.</w:t>
      </w:r>
    </w:p>
    <w:p>
      <w:pPr>
        <w:pStyle w:val="ListBullet"/>
      </w:pPr>
      <w:r>
        <w:rPr>
          <w:rFonts w:ascii="DejaVu Sans" w:hAnsi="DejaVu Sans" w:eastAsia="DejaVu Sans"/>
          <w:b w:val="0"/>
          <w:i w:val="0"/>
          <w:color w:val="111111"/>
          <w:sz w:val="20"/>
        </w:rPr>
        <w:t xml:space="preserve"> Repository provenance хранит requested/canonical IDs, providers и redirect chain.</w:t>
      </w:r>
    </w:p>
    <w:p>
      <w:pPr>
        <w:pStyle w:val="ListBullet"/>
      </w:pPr>
      <w:r>
        <w:rPr>
          <w:rFonts w:ascii="DejaVu Sans" w:hAnsi="DejaVu Sans" w:eastAsia="DejaVu Sans"/>
          <w:b w:val="0"/>
          <w:i w:val="0"/>
          <w:color w:val="111111"/>
          <w:sz w:val="20"/>
        </w:rPr>
        <w:t xml:space="preserve"> Persistent allocator state входит в save и не откатывает counters при deletion.</w:t>
      </w:r>
    </w:p>
    <w:p>
      <w:pPr>
        <w:pStyle w:val="ListBullet"/>
      </w:pPr>
      <w:r>
        <w:rPr>
          <w:rFonts w:ascii="DejaVu Sans" w:hAnsi="DejaVu Sans" w:eastAsia="DejaVu Sans"/>
          <w:b w:val="0"/>
          <w:i w:val="0"/>
          <w:color w:val="111111"/>
          <w:sz w:val="20"/>
        </w:rPr>
        <w:t xml:space="preserve"> Transient/UI IDs проверяют session generation до registry lookup.</w:t>
      </w:r>
    </w:p>
    <w:p>
      <w:pPr>
        <w:pStyle w:val="ListBullet"/>
      </w:pPr>
      <w:r>
        <w:rPr>
          <w:rFonts w:ascii="DejaVu Sans" w:hAnsi="DejaVu Sans" w:eastAsia="DejaVu Sans"/>
          <w:b w:val="0"/>
          <w:i w:val="0"/>
          <w:color w:val="111111"/>
          <w:sz w:val="20"/>
        </w:rPr>
        <w:t xml:space="preserve"> Localization catalog индексируется canonical text IDs.</w:t>
      </w:r>
    </w:p>
    <w:p>
      <w:pPr>
        <w:pStyle w:val="ListBullet"/>
      </w:pPr>
      <w:r>
        <w:rPr>
          <w:rFonts w:ascii="DejaVu Sans" w:hAnsi="DejaVu Sans" w:eastAsia="DejaVu Sans"/>
          <w:b w:val="0"/>
          <w:i w:val="0"/>
          <w:color w:val="111111"/>
          <w:sz w:val="20"/>
        </w:rPr>
        <w:t xml:space="preserve"> Stable→UE asset mapping явно валидируется на cook/build.</w:t>
      </w:r>
    </w:p>
    <w:p>
      <w:pPr>
        <w:pStyle w:val="ListBullet"/>
      </w:pPr>
      <w:r>
        <w:rPr>
          <w:rFonts w:ascii="DejaVu Sans" w:hAnsi="DejaVu Sans" w:eastAsia="DejaVu Sans"/>
          <w:b w:val="0"/>
          <w:i w:val="0"/>
          <w:color w:val="111111"/>
          <w:sz w:val="20"/>
        </w:rPr>
        <w:t xml:space="preserve"> CI содержит compatibility fixture для rename/redirect и отдельный fixture для intentional reuse break.</w:t>
      </w:r>
    </w:p>
    <w:p>
      <w:pPr>
        <w:pStyle w:val="Heading1"/>
      </w:pPr>
      <w:r>
        <w:rPr>
          <w:rFonts w:ascii="DejaVu Sans" w:hAnsi="DejaVu Sans" w:eastAsia="DejaVu Sans"/>
          <w:b/>
          <w:i w:val="0"/>
          <w:color w:val="2E74B5"/>
          <w:sz w:val="32"/>
        </w:rPr>
        <w:t>21. Change control</w:t>
      </w:r>
    </w:p>
    <w:tbl>
      <w:tblPr>
        <w:tblStyle w:val="TableGrid"/>
        <w:tblW w:type="auto" w:w="0"/>
        <w:jc w:val="left"/>
        <w:tblLayout w:type="fixed"/>
        <w:tblLook w:firstColumn="1" w:firstRow="1" w:lastColumn="0" w:lastRow="0" w:noHBand="0" w:noVBand="1" w:val="04A0"/>
        <w:tblW w:w="9360" w:type="dxa"/>
        <w:tblInd w:w="120" w:type="dxa"/>
        <w:tblLayout w:type="fixed"/>
      </w:tblPr>
      <w:tblGrid>
        <w:gridCol w:w="2700"/>
        <w:gridCol w:w="6660"/>
      </w:tblGrid>
      <w:tr>
        <w:trPr>
          <w:tblHeader w:val="true"/>
          <w:cantSplit/>
        </w:trPr>
        <w:tc>
          <w:tcPr>
            <w:tcW w:type="dxa" w:w="4680"/>
            <w:shd w:fill="E8EEF5"/>
            <w:tcW w:w="2700" w:type="dxa"/>
            <w:tcMar>
              <w:top w:w="80" w:type="dxa"/>
              <w:bottom w:w="80" w:type="dxa"/>
              <w:start w:w="120" w:type="dxa"/>
              <w:end w:w="120" w:type="dxa"/>
            </w:tcMar>
          </w:tcPr>
          <w:p>
            <w:pPr>
              <w:spacing w:after="0"/>
            </w:pPr>
            <w:r>
              <w:rPr>
                <w:rFonts w:ascii="DejaVu Sans" w:hAnsi="DejaVu Sans" w:eastAsia="DejaVu Sans"/>
                <w:b/>
                <w:i w:val="0"/>
                <w:color w:val="0B2545"/>
                <w:sz w:val="16"/>
              </w:rPr>
              <w:t>Изменение</w:t>
            </w:r>
          </w:p>
        </w:tc>
        <w:tc>
          <w:tcPr>
            <w:tcW w:type="dxa" w:w="4680"/>
            <w:shd w:fill="E8EEF5"/>
            <w:tcW w:w="6660" w:type="dxa"/>
            <w:tcMar>
              <w:top w:w="80" w:type="dxa"/>
              <w:bottom w:w="80" w:type="dxa"/>
              <w:start w:w="120" w:type="dxa"/>
              <w:end w:w="120" w:type="dxa"/>
            </w:tcMar>
          </w:tcPr>
          <w:p>
            <w:pPr>
              <w:spacing w:after="0"/>
            </w:pPr>
            <w:r>
              <w:rPr>
                <w:rFonts w:ascii="DejaVu Sans" w:hAnsi="DejaVu Sans" w:eastAsia="DejaVu Sans"/>
                <w:b/>
                <w:i w:val="0"/>
                <w:color w:val="0B2545"/>
                <w:sz w:val="16"/>
              </w:rPr>
              <w:t>Требование</w:t>
            </w:r>
          </w:p>
        </w:tc>
      </w:tr>
      <w:tr>
        <w:trPr>
          <w:cantSplit/>
        </w:trPr>
        <w:tc>
          <w:tcPr>
            <w:tcW w:type="dxa" w:w="4680"/>
            <w:vAlign w:val="center"/>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Grammar/length/canonicalization</w:t>
            </w:r>
          </w:p>
        </w:tc>
        <w:tc>
          <w:tcPr>
            <w:tcW w:type="dxa" w:w="4680"/>
            <w:vAlign w:val="center"/>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Новая specification version + migration analysis всех durable boundaries.</w:t>
            </w:r>
          </w:p>
        </w:tc>
      </w:tr>
      <w:tr>
        <w:trPr>
          <w:cantSplit/>
        </w:trPr>
        <w:tc>
          <w:tcPr>
            <w:tcW w:type="dxa" w:w="4680"/>
            <w:vAlign w:val="center"/>
            <w:shd w:fill="FAFBFC"/>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Reserved namespaces</w:t>
            </w:r>
          </w:p>
        </w:tc>
        <w:tc>
          <w:tcPr>
            <w:tcW w:type="dxa" w:w="4680"/>
            <w:vAlign w:val="center"/>
            <w:shd w:fill="FAFBFC"/>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Manifest/tooling update и collision audit.</w:t>
            </w:r>
          </w:p>
        </w:tc>
      </w:tr>
      <w:tr>
        <w:trPr>
          <w:cantSplit/>
        </w:trPr>
        <w:tc>
          <w:tcPr>
            <w:tcW w:type="dxa" w:w="4680"/>
            <w:vAlign w:val="center"/>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Redirect semantics</w:t>
            </w:r>
          </w:p>
        </w:tc>
        <w:tc>
          <w:tcPr>
            <w:tcW w:type="dxa" w:w="4680"/>
            <w:vAlign w:val="center"/>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Save compatibility suite и deterministic repository tests.</w:t>
            </w:r>
          </w:p>
        </w:tc>
      </w:tr>
      <w:tr>
        <w:trPr>
          <w:cantSplit/>
        </w:trPr>
        <w:tc>
          <w:tcPr>
            <w:tcW w:type="dxa" w:w="4680"/>
            <w:vAlign w:val="center"/>
            <w:shd w:fill="FAFBFC"/>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Instance allocator</w:t>
            </w:r>
          </w:p>
        </w:tc>
        <w:tc>
          <w:tcPr>
            <w:tcW w:type="dxa" w:w="4680"/>
            <w:vAlign w:val="center"/>
            <w:shd w:fill="FAFBFC"/>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Save schema migration; existing lineage IDs не переиспользуются.</w:t>
            </w:r>
          </w:p>
        </w:tc>
      </w:tr>
      <w:tr>
        <w:trPr>
          <w:cantSplit/>
        </w:trPr>
        <w:tc>
          <w:tcPr>
            <w:tcW w:type="dxa" w:w="4680"/>
            <w:vAlign w:val="center"/>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Localization type</w:t>
            </w:r>
          </w:p>
        </w:tc>
        <w:tc>
          <w:tcPr>
            <w:tcW w:type="dxa" w:w="4680"/>
            <w:vAlign w:val="center"/>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Catalog migration с redirects или deliberate breaking decision.</w:t>
            </w:r>
          </w:p>
        </w:tc>
      </w:tr>
      <w:tr>
        <w:trPr>
          <w:cantSplit/>
        </w:trPr>
        <w:tc>
          <w:tcPr>
            <w:tcW w:type="dxa" w:w="4680"/>
            <w:vAlign w:val="center"/>
            <w:shd w:fill="FAFBFC"/>
            <w:tcW w:w="2700" w:type="dxa"/>
            <w:tcMar>
              <w:top w:w="80" w:type="dxa"/>
              <w:bottom w:w="80" w:type="dxa"/>
              <w:start w:w="120" w:type="dxa"/>
              <w:end w:w="120" w:type="dxa"/>
            </w:tcMar>
          </w:tcPr>
          <w:p>
            <w:pPr>
              <w:spacing w:after="0"/>
            </w:pPr>
            <w:r>
              <w:rPr>
                <w:rFonts w:ascii="DejaVu Sans" w:hAnsi="DejaVu Sans" w:eastAsia="DejaVu Sans"/>
                <w:b w:val="0"/>
                <w:i w:val="0"/>
                <w:color w:val="111111"/>
                <w:sz w:val="16"/>
              </w:rPr>
              <w:t>UE asset mapping</w:t>
            </w:r>
          </w:p>
        </w:tc>
        <w:tc>
          <w:tcPr>
            <w:tcW w:type="dxa" w:w="4680"/>
            <w:vAlign w:val="center"/>
            <w:shd w:fill="FAFBFC"/>
            <w:tcW w:w="6660" w:type="dxa"/>
            <w:tcMar>
              <w:top w:w="80" w:type="dxa"/>
              <w:bottom w:w="80" w:type="dxa"/>
              <w:start w:w="120" w:type="dxa"/>
              <w:end w:w="120" w:type="dxa"/>
            </w:tcMar>
          </w:tcPr>
          <w:p>
            <w:pPr>
              <w:spacing w:after="0"/>
            </w:pPr>
            <w:r>
              <w:rPr>
                <w:rFonts w:ascii="DejaVu Sans" w:hAnsi="DejaVu Sans" w:eastAsia="DejaVu Sans"/>
                <w:b w:val="0"/>
                <w:i w:val="0"/>
                <w:color w:val="111111"/>
                <w:sz w:val="16"/>
              </w:rPr>
              <w:t>Не требует Stable ID migration, если logical identity неизменна.</w:t>
            </w:r>
          </w:p>
        </w:tc>
      </w:tr>
    </w:tbl>
    <w:p>
      <w:pPr>
        <w:spacing w:after="0"/>
      </w:pPr>
    </w:p>
    <w:p>
      <w:pPr>
        <w:shd w:fill="DDEFE2"/>
        <w:spacing w:before="80" w:after="80"/>
        <w:ind w:left="101" w:right="101"/>
      </w:pPr>
      <w:r>
        <w:rPr>
          <w:rFonts w:ascii="DejaVu Sans" w:hAnsi="DejaVu Sans" w:eastAsia="DejaVu Sans"/>
          <w:b/>
          <w:i w:val="0"/>
          <w:color w:val="0B2545"/>
          <w:sz w:val="20"/>
        </w:rPr>
        <w:t xml:space="preserve">Запрещённая скрытая связь. </w:t>
      </w:r>
      <w:r>
        <w:rPr>
          <w:rFonts w:ascii="DejaVu Sans" w:hAnsi="DejaVu Sans" w:eastAsia="DejaVu Sans"/>
          <w:b w:val="0"/>
          <w:i w:val="0"/>
          <w:color w:val="0B2545"/>
          <w:sz w:val="20"/>
        </w:rPr>
        <w:t>Ни future tooling, ни editor plugin не могут выводить Stable ID из filename, display name или UE path как authoritative identity. Они MAY предлагать candidate ID, но запись становится identity только после canonical validation и явного сохранения.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b w:val="0"/>
        <w:i w:val="0"/>
        <w:color w:val="5D6673"/>
        <w:sz w:val="17"/>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eastAsia="DejaVu Sans"/>
        <w:b/>
        <w:i w:val="0"/>
        <w:color w:val="5D6673"/>
        <w:sz w:val="16"/>
      </w:rPr>
      <w:t>STABLE ID SPECIFICATION  •  UE5 DATA-DRIVEN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DejaVu Sans" w:hAnsi="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DejaVu Sans" w:hAnsi="DejaVu Sans"/>
      <w:sz w:val="20"/>
    </w:rPr>
  </w:style>
  <w:style w:type="paragraph" w:styleId="ListBullet2">
    <w:name w:val="List Bullet 2"/>
    <w:basedOn w:val="Normal"/>
    <w:uiPriority w:val="99"/>
    <w:unhideWhenUsed/>
    <w:rsid w:val="00326F90"/>
    <w:pPr>
      <w:numPr>
        <w:numId w:val="2"/>
      </w:numPr>
      <w:spacing w:after="80" w:line="283" w:lineRule="auto"/>
      <w:ind w:left="900" w:hanging="271"/>
      <w:contextualSpacing/>
    </w:pPr>
    <w:rPr>
      <w:rFonts w:ascii="DejaVu Sans" w:hAnsi="DejaVu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Stable ID Specification — RU</dc:title>
  <dc:subject>UE5 Data-Driven Game — нормативная спецификация Stable IDs</dc:subject>
  <dc:creator>Project Architecture</dc:creator>
  <cp:keywords>UE5, Stable ID, definitions, mods, redirects, instance ID, localization</cp:keywords>
  <dc:description>generated by python-docx</dc:description>
  <cp:lastModifiedBy/>
  <cp:revision>1</cp:revision>
  <dcterms:created xsi:type="dcterms:W3CDTF">2013-12-23T23:15:00Z</dcterms:created>
  <dcterms:modified xsi:type="dcterms:W3CDTF">2013-12-23T23:15:00Z</dcterms:modified>
  <cp:category/>
</cp:coreProperties>
</file>