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C2129">
      <w:pPr>
        <w:jc w:val="center"/>
        <w:rPr>
          <w:rFonts w:hint="eastAsia"/>
          <w:sz w:val="28"/>
          <w:szCs w:val="36"/>
        </w:rPr>
      </w:pPr>
      <w:r>
        <w:rPr>
          <w:rFonts w:hint="eastAsia"/>
          <w:sz w:val="28"/>
          <w:szCs w:val="36"/>
        </w:rPr>
        <w:t>基于分布式注意力的时序卷积网络在剩余使用寿命预测中的应用</w:t>
      </w:r>
    </w:p>
    <w:p w14:paraId="1B65CFEB">
      <w:pPr>
        <w:ind w:firstLine="422" w:firstLineChars="200"/>
      </w:pPr>
      <w:r>
        <w:rPr>
          <w:rFonts w:hint="eastAsia"/>
          <w:b/>
          <w:bCs/>
        </w:rPr>
        <w:t>摘要</w:t>
      </w:r>
      <w:r>
        <w:rPr>
          <w:rFonts w:hint="eastAsia"/>
          <w:b/>
          <w:bCs/>
          <w:lang w:eastAsia="zh-CN"/>
        </w:rPr>
        <w:t>：</w:t>
      </w:r>
      <w:r>
        <w:rPr>
          <w:rFonts w:hint="eastAsia"/>
        </w:rPr>
        <w:t>通过从工业物联网（IIoT）设备收集的大量数据，可以提升数据驱动的预测和健康管理（PHM）系统的性能。在PHM系统中，剩余使用寿命（RUL）的预测对于保证工业制造的可靠性和安全性至关重要。然而，当前许多用于轴承RUL预测的数据驱动方法，并未考虑来自不同传感器和时间步的数据重要性，从而降低了它们在大数据时代的效率。在此背景下，我们提出了一种基于深度学习的RUL预测方法，通过注意力机制加权序列数据表示。具体来说，所提方法基于分布式注意力机制，分别对不同传感器和时间步进行加权。然后，采用共享权重的时序卷积模块对时间序列数据进行特征提取。最后，我们使用广泛应用的C-MAPSS数据集来验证该方法的性能。实验结果表明，所提方法具有较高的准确性，并且在实际应用中展现出较高的效率。</w:t>
      </w:r>
    </w:p>
    <w:p w14:paraId="2BE62BEF">
      <w:pPr>
        <w:jc w:val="center"/>
        <w:rPr>
          <w:b/>
          <w:bCs/>
          <w:sz w:val="24"/>
          <w:szCs w:val="32"/>
        </w:rPr>
      </w:pPr>
      <w:r>
        <w:rPr>
          <w:rFonts w:hint="eastAsia"/>
          <w:b/>
          <w:bCs/>
          <w:sz w:val="24"/>
          <w:szCs w:val="32"/>
        </w:rPr>
        <w:t>1.介绍</w:t>
      </w:r>
    </w:p>
    <w:p w14:paraId="38304731">
      <w:pPr>
        <w:ind w:firstLine="420" w:firstLineChars="200"/>
      </w:pPr>
      <w:r>
        <w:t>预测和健康管理（PHM）系统是监测和预测制造设备故障的重要工具。在PHM系统中，剩余使用寿命（RUL）预测扮演着至关重要的角色，它有助于确保工业生产的可靠性和安全性。</w:t>
      </w:r>
    </w:p>
    <w:p w14:paraId="2F27F4B3">
      <w:pPr>
        <w:ind w:firstLine="420" w:firstLineChars="200"/>
      </w:pPr>
      <w:r>
        <w:t>在物联网（IoT）驱动的制造过程中，信号采集和计算机技术的发展，使得我们能够从运行中的机械设备中获取大量工业数据，从而推动了数据驱动的健康监测方法的进步。虽然许多研究已经致力于在硬件和软件层面提升物联网技术的能效 [1]–[4]，但提升物联网系统中人工智能技术的性能同样至关重要。在处理工业大数据时，基于机器学习和深度学习的方法因其优异的性能和高鲁棒性，迅速成为研究的主流。</w:t>
      </w:r>
    </w:p>
    <w:p w14:paraId="2AE33EF6">
      <w:pPr>
        <w:ind w:firstLine="420" w:firstLineChars="200"/>
      </w:pPr>
      <w:r>
        <w:t>数据驱动的RUL预测方法主要分为两个步骤：1）数据预处理和2）模型学习与决策。在数据预处理阶段，通常需要进行数据归一化、噪声过滤以及特征提取，而特征提取方法的选择主要依赖于研究者的经验。机器学习和深度学习方法被广泛应用于构建RUL预测模型。像极限学习机（ELM）[5]和支持向量机（SVM）[6]等方法，将特征提取和模型训练分开进行，这意味着这两个步骤是独立的。为了获得可以自适应监测数据或特征的预测模型，模型需要具备端到端的可训练参数，并能够从输入数据中提取有用的信息。因此，深度学习技术在RUL预测中得到了广泛应用。考虑到信号的时空相关性，卷积神经网络（CNN）[7]和循环神经网络（RNN）[8]是最常用的深度学习方法。Li等人[9]提出了使用CNN对航空发动机退化进行估计，并以归一化的原始数据为输入。Babu等人[10]则在每个传感器的时间维度上应用了深度CNN（DCNN）来进行自适应特征学习和RUL预测。Ren等人[11]将谱主能量向量与DCNN结合，用于轴承RUL预测。尽管RNN能够保留上下文信息和历史数据，但由于其结构特点，它在处理长时间序列时可能会遗忘某些时间点的信息，还可能会遭遇梯度消失问题。长短期记忆（LSTM）[12]被提出用于解决这一问题，并且证明其性能优于传统的RNN[13]。Zheng等人[14]利用LSTM进行RUL预测，并且他们在三个数据集上的实验结果验证了LSTM的有效性。为了解决如何从两个时间方向提取健康信息，[16]中提出了一种基于双向LSTM（BiLSTM）的方法。</w:t>
      </w:r>
    </w:p>
    <w:p w14:paraId="6AF3253A">
      <w:pPr>
        <w:adjustRightInd w:val="0"/>
        <w:ind w:firstLine="420" w:firstLineChars="200"/>
      </w:pPr>
      <w:r>
        <w:t>考虑到卷积神经网络（CNN）和循环神经网络（RNN）在序列建模任务中的应用关联，研究者提出了一种新的网络结构，称为时序卷积网络（TCNs）[17]。TCN采用了扩张因果卷积层和残差连接，这些设计使得其在序列数据预测方面比CNN更为高效。然而，目前关于TCN在剩余使用寿命（RUL）预测中的研究还相对较少。</w:t>
      </w:r>
    </w:p>
    <w:p w14:paraId="0CE81550">
      <w:pPr>
        <w:adjustRightInd w:val="0"/>
        <w:ind w:firstLine="420" w:firstLineChars="200"/>
      </w:pPr>
      <w:r>
        <w:t>前述的研究普遍认为，整个时间序列和每个传感器的数据对RUL预测的贡献是相同的，但这种做法可能带来负面影响，因为在监测数据中，某些更为关键的数据应当获得更多关注。为此，注意力机制[18]在预测方法中被用来计算不同输入部分的重要性权重，从而能帮助模型更好地提取关键信息并提高预测精度。该机制在图像描述生成、文档分类等领域中已有成功应用。Chen等人[19]提出了一种将频谱特征与具有注意力机制的RNN结合的RUL预测方法，取得了较高的预测准确性。</w:t>
      </w:r>
    </w:p>
    <w:p w14:paraId="3E865FA0">
      <w:pPr>
        <w:adjustRightInd w:val="0"/>
        <w:ind w:firstLine="420" w:firstLineChars="200"/>
      </w:pPr>
      <w:r>
        <w:t>在本文中，我们提出了一种结合深度学习与改进注意力机制的数据驱动方法，用于RUL预测。本文的创新贡献包括两个方面。首先，我们的方法使用分布式注意力机制分别对不同的传感器和时间步进行加权，从而突出那些更为关键的数据在RUL预测中的作用。其次，经过加权的数据将作为输入，传递给具有共享参数的时序卷积模块（TCM）。实验结果表明，当在TCM的前后分别应用不同时间步和不同传感器的注意力机制时，能够取得最佳的效果。因此，我们称这一方法为基于分布式注意力的时序卷积网络（DA-TCN）。在C-MAPSS数据集上的实验验证了该方法的优越性。</w:t>
      </w:r>
    </w:p>
    <w:p w14:paraId="440F547E">
      <w:pPr>
        <w:adjustRightInd w:val="0"/>
        <w:ind w:firstLine="420" w:firstLineChars="200"/>
      </w:pPr>
      <w:r>
        <w:t>本文的结构安排如下：第二节介绍了与我们工作相关的基本理论，第三节详细阐述了所提出的方法和相关参数，第四节展示了实验结果和分析，最后，第五节总结了本文的主要结论。</w:t>
      </w:r>
    </w:p>
    <w:p w14:paraId="1B2937AC">
      <w:pPr>
        <w:adjustRightInd w:val="0"/>
        <w:ind w:firstLine="482" w:firstLineChars="200"/>
        <w:jc w:val="center"/>
        <w:rPr>
          <w:b/>
          <w:bCs/>
          <w:sz w:val="24"/>
          <w:szCs w:val="32"/>
        </w:rPr>
      </w:pPr>
      <w:r>
        <w:rPr>
          <w:rFonts w:hint="eastAsia"/>
          <w:b/>
          <w:bCs/>
          <w:sz w:val="24"/>
          <w:szCs w:val="32"/>
        </w:rPr>
        <w:t>2.背景</w:t>
      </w:r>
    </w:p>
    <w:p w14:paraId="1749896B">
      <w:pPr>
        <w:rPr>
          <w:b/>
          <w:bCs/>
          <w:sz w:val="22"/>
          <w:szCs w:val="28"/>
        </w:rPr>
      </w:pPr>
      <w:r>
        <w:rPr>
          <w:rFonts w:hint="eastAsia"/>
          <w:b/>
          <w:bCs/>
          <w:sz w:val="22"/>
          <w:szCs w:val="28"/>
        </w:rPr>
        <w:t>A.TCN</w:t>
      </w:r>
    </w:p>
    <w:p w14:paraId="7B298FBB">
      <w:pPr>
        <w:adjustRightInd w:val="0"/>
        <w:ind w:firstLine="420" w:firstLineChars="200"/>
      </w:pPr>
      <w:r>
        <w:t>RNN已经广泛应用于机器翻译、语音识别和自然语言处理等任务中。当RNN处理长句子时，它会一次处理一个词（或字符），并且必须等到处理完前一个词的输出，才能继续处理下一个词。这意味着RNN无法像卷积神经网络（CNN）那样进行大规模并行计算。为了解决这个问题，Bai等人[17]提出了时序卷积网络（TCN），它既考虑了序列数据中的因果关系，又能够实现并行计算。TCN的架构主要包括三个部分：1）因果卷积；2）扩张卷积；3）残差连接，如图1所示。</w:t>
      </w:r>
    </w:p>
    <w:p w14:paraId="516494E5">
      <w:pPr>
        <w:adjustRightInd w:val="0"/>
        <w:ind w:firstLine="420" w:firstLineChars="200"/>
        <w:jc w:val="center"/>
      </w:pPr>
    </w:p>
    <w:p w14:paraId="047BEC2D">
      <w:pPr>
        <w:adjustRightInd w:val="0"/>
        <w:ind w:firstLine="420" w:firstLineChars="200"/>
        <w:jc w:val="center"/>
      </w:pPr>
      <w:r>
        <w:drawing>
          <wp:inline distT="0" distB="0" distL="114300" distR="114300">
            <wp:extent cx="2642235" cy="3278505"/>
            <wp:effectExtent l="0" t="0" r="5715" b="17145"/>
            <wp:docPr id="1" name="图片 1" descr="{03C7BBBB-70AE-4F1B-A0E3-437CE17D0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3C7BBBB-70AE-4F1B-A0E3-437CE17D044F}"/>
                    <pic:cNvPicPr>
                      <a:picLocks noChangeAspect="1"/>
                    </pic:cNvPicPr>
                  </pic:nvPicPr>
                  <pic:blipFill>
                    <a:blip r:embed="rId4"/>
                    <a:stretch>
                      <a:fillRect/>
                    </a:stretch>
                  </pic:blipFill>
                  <pic:spPr>
                    <a:xfrm>
                      <a:off x="0" y="0"/>
                      <a:ext cx="2642235" cy="3278505"/>
                    </a:xfrm>
                    <a:prstGeom prst="rect">
                      <a:avLst/>
                    </a:prstGeom>
                  </pic:spPr>
                </pic:pic>
              </a:graphicData>
            </a:graphic>
          </wp:inline>
        </w:drawing>
      </w:r>
    </w:p>
    <w:p w14:paraId="21203BEA">
      <w:pPr>
        <w:adjustRightInd w:val="0"/>
        <w:ind w:firstLine="420" w:firstLineChars="200"/>
        <w:jc w:val="center"/>
      </w:pPr>
      <w:r>
        <w:rPr>
          <w:rFonts w:hint="eastAsia"/>
        </w:rPr>
        <w:t>图1. (a) 扩张因果卷积层(b) 残差块(c) 时间卷积网络。</w:t>
      </w:r>
    </w:p>
    <w:p w14:paraId="6CA73102">
      <w:pPr>
        <w:adjustRightInd w:val="0"/>
        <w:ind w:firstLine="420" w:firstLineChars="200"/>
      </w:pPr>
      <w:r>
        <w:t>在因果卷积中，下一层在时间t时得到的数据，依赖于上一层在时间t及之前的值，具体可以表示为：</w:t>
      </w:r>
    </w:p>
    <w:p w14:paraId="651011FC">
      <w:pPr>
        <w:adjustRightInd w:val="0"/>
        <w:ind w:firstLine="420" w:firstLineChars="200"/>
        <w:jc w:val="center"/>
      </w:pPr>
      <w:bookmarkStart w:id="0" w:name="MTBlankEqn"/>
      <w:r>
        <w:rPr>
          <w:position w:val="-16"/>
        </w:rPr>
        <w:object>
          <v:shape id="_x0000_i1025" o:spt="75" type="#_x0000_t75" style="height:21.95pt;width:149.1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bookmarkEnd w:id="0"/>
      <w:r>
        <w:rPr>
          <w:rFonts w:hint="eastAsia"/>
        </w:rPr>
        <w:t>.</w:t>
      </w:r>
    </w:p>
    <w:p w14:paraId="348EDEEB">
      <w:pPr>
        <w:adjustRightInd w:val="0"/>
        <w:ind w:firstLine="420" w:firstLineChars="200"/>
      </w:pPr>
      <w:r>
        <w:t>其中，T表示时间窗口的长度，n和(n+1)是层的编号，f(.)代表卷积操作。与传统的卷积方式不同，因果卷积不使用未来时刻的数据，这确保了模型的因果性。</w:t>
      </w:r>
      <w:r>
        <w:br w:type="textWrapping"/>
      </w:r>
      <w:r>
        <w:rPr>
          <w:rFonts w:hint="eastAsia"/>
        </w:rPr>
        <w:t xml:space="preserve">    </w:t>
      </w:r>
      <w:r>
        <w:t>扩张卷积[20]是一种高效的方法，用于扩大感受野。如图1(a)所示，d是扩张因子，k是卷积核的大小。在底层，d = 1的扩张卷积表示相邻的点将被用于下一层，而d = 2则表示输入节点是交替选择，用于下一层的输出。通常，随着网络深度的增加，感受野也会逐渐变宽。</w:t>
      </w:r>
      <w:r>
        <w:br w:type="textWrapping"/>
      </w:r>
      <w:r>
        <w:rPr>
          <w:rFonts w:hint="eastAsia"/>
        </w:rPr>
        <w:t xml:space="preserve">    </w:t>
      </w:r>
      <w:r>
        <w:t>为了提高泛化性能，TCN结构采用了残差连接[21]，如图1(b)所示。与RNN不同，TCN能够并行处理序列数据，这显著提升了计算效率。通过调整参数（如k和d），可以灵活控制感受野的大小，从而更好地适应不同任务的需求。此外，残差结构还确保网络在训练过程中能够避免梯度消失问题。</w:t>
      </w:r>
    </w:p>
    <w:p w14:paraId="680AA633">
      <w:pPr>
        <w:numPr>
          <w:ilvl w:val="0"/>
          <w:numId w:val="1"/>
        </w:numPr>
        <w:adjustRightInd w:val="0"/>
        <w:rPr>
          <w:b/>
          <w:bCs/>
          <w:sz w:val="22"/>
          <w:szCs w:val="28"/>
        </w:rPr>
      </w:pPr>
      <w:r>
        <w:rPr>
          <w:rFonts w:hint="eastAsia"/>
          <w:b/>
          <w:bCs/>
          <w:sz w:val="22"/>
          <w:szCs w:val="28"/>
        </w:rPr>
        <w:t>层次注意力网络</w:t>
      </w:r>
    </w:p>
    <w:p w14:paraId="7B96E1A5">
      <w:pPr>
        <w:adjustRightInd w:val="0"/>
        <w:ind w:firstLine="420" w:firstLineChars="200"/>
      </w:pPr>
      <w:r>
        <w:t>我们提出的分布式注意力机制基于层次注意力网络（HAN）[22]，该网络最初是为文档分类任务而设计的。假设句子中的第i个词为</w:t>
      </w:r>
      <w:r>
        <w:rPr>
          <w:position w:val="-12"/>
        </w:rPr>
        <w:object>
          <v:shape id="_x0000_i1026" o:spt="75" type="#_x0000_t75" style="height:18.25pt;width:63.1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t>这些词首先通过嵌入矩阵 </w:t>
      </w:r>
      <w:r>
        <w:rPr>
          <w:position w:val="-12"/>
        </w:rPr>
        <w:object>
          <v:shape id="_x0000_i1027" o:spt="75" type="#_x0000_t75" style="height:18.25pt;width:15.9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rPr>
        <w:t xml:space="preserve">. </w:t>
      </w:r>
      <w:r>
        <w:t>转换为向量，得到的嵌入结果是</w:t>
      </w:r>
      <w:r>
        <w:rPr>
          <w:position w:val="-12"/>
        </w:rPr>
        <w:object>
          <v:shape id="_x0000_i1028" o:spt="75" type="#_x0000_t75" style="height:19.15pt;width:57.0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t>然后，使</w:t>
      </w:r>
      <w:r>
        <w:rPr>
          <w:color w:val="auto"/>
        </w:rPr>
        <w:t>用双向门控递归单元</w:t>
      </w:r>
      <w:r>
        <w:t>（GRU）[23]进行信息提取。假设GRU对</w:t>
      </w:r>
      <w:r>
        <w:rPr>
          <w:position w:val="-12"/>
        </w:rPr>
        <w:object>
          <v:shape id="_x0000_i1029" o:spt="75" type="#_x0000_t75" style="height:19.15pt;width:15.9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t>的输出为</w:t>
      </w:r>
      <w:r>
        <w:rPr>
          <w:position w:val="-12"/>
        </w:rPr>
        <w:object>
          <v:shape id="_x0000_i1030" o:spt="75" type="#_x0000_t75" style="height:18.25pt;width:12.1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rPr>
        <w:t>。</w:t>
      </w:r>
      <w:r>
        <w:t>因为不同的词对句子理解的贡献不尽相同，重要的词需要更多的关注。HAN正是为了解决这一问题而设计的。首先，</w:t>
      </w:r>
      <w:r>
        <w:rPr>
          <w:position w:val="-12"/>
        </w:rPr>
        <w:object>
          <v:shape id="_x0000_i1031" o:spt="75" type="#_x0000_t75" style="height:18.25pt;width:12.1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7">
            <o:LockedField>false</o:LockedField>
          </o:OLEObject>
        </w:object>
      </w:r>
      <w:r>
        <w:t>会被输入到一个隐藏层中，生成隐藏表示</w:t>
      </w:r>
      <w:r>
        <w:rPr>
          <w:position w:val="-12"/>
        </w:rPr>
        <w:object>
          <v:shape id="_x0000_i1032" o:spt="75" type="#_x0000_t75" style="height:18.25pt;width:13.1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t>，该表示的定义如下：</w:t>
      </w:r>
    </w:p>
    <w:p w14:paraId="665B5F17">
      <w:pPr>
        <w:adjustRightInd w:val="0"/>
        <w:jc w:val="center"/>
      </w:pPr>
      <w:r>
        <w:rPr>
          <w:position w:val="-12"/>
        </w:rPr>
        <w:object>
          <v:shape id="_x0000_i1033" o:spt="75" type="#_x0000_t75" style="height:18.25pt;width:98.2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p>
    <w:p w14:paraId="5A5BE1C7">
      <w:pPr>
        <w:adjustRightInd w:val="0"/>
      </w:pPr>
      <w:r>
        <w:t>其中，</w:t>
      </w:r>
      <w:r>
        <w:rPr>
          <w:position w:val="-12"/>
        </w:rPr>
        <w:object>
          <v:shape id="_x0000_i1034" o:spt="75" type="#_x0000_t75" style="height:18.25pt;width:14.05pt;" o:ole="t" filled="f" o:preferrelative="t" stroked="f" coordsize="21600,21600">
            <v:path/>
            <v:fill on="f" focussize="0,0"/>
            <v:stroke on="f" joinstyle="miter"/>
            <v:imagedata r:id="rId23" o:title=""/>
            <o:lock v:ext="edit" aspectratio="f"/>
            <w10:wrap type="none"/>
            <w10:anchorlock/>
          </v:shape>
          <o:OLEObject Type="Embed" ProgID="Equation.DSMT4" ShapeID="_x0000_i1034" DrawAspect="Content" ObjectID="_1468075734" r:id="rId22">
            <o:LockedField>false</o:LockedField>
          </o:OLEObject>
        </w:object>
      </w:r>
      <w:r>
        <w:t>和</w:t>
      </w:r>
      <w:r>
        <w:rPr>
          <w:position w:val="-12"/>
        </w:rPr>
        <w:object>
          <v:shape id="_x0000_i1035" o:spt="75" type="#_x0000_t75" style="height:18.25pt;width:14.05pt;" o:ole="t" filled="f" o:preferrelative="t" stroked="f" coordsize="21600,21600">
            <v:path/>
            <v:fill on="f" focussize="0,0"/>
            <v:stroke on="f" joinstyle="miter"/>
            <v:imagedata r:id="rId25" o:title=""/>
            <o:lock v:ext="edit" aspectratio="f"/>
            <w10:wrap type="none"/>
            <w10:anchorlock/>
          </v:shape>
          <o:OLEObject Type="Embed" ProgID="Equation.DSMT4" ShapeID="_x0000_i1035" DrawAspect="Content" ObjectID="_1468075735" r:id="rId24">
            <o:LockedField>false</o:LockedField>
          </o:OLEObject>
        </w:object>
      </w:r>
      <w:r>
        <w:t>是隐藏层的参数向量。接着，通过 softmax 函数计算词</w:t>
      </w:r>
      <w:r>
        <w:rPr>
          <w:position w:val="-12"/>
        </w:rPr>
        <w:object>
          <v:shape id="_x0000_i1036" o:spt="75" type="#_x0000_t75" style="height:18.25pt;width:14.95pt;" o:ole="t" filled="f" o:preferrelative="t" stroked="f" coordsize="21600,21600">
            <v:path/>
            <v:fill on="f" focussize="0,0"/>
            <v:stroke on="f" joinstyle="miter"/>
            <v:imagedata r:id="rId27" o:title=""/>
            <o:lock v:ext="edit" aspectratio="f"/>
            <w10:wrap type="none"/>
            <w10:anchorlock/>
          </v:shape>
          <o:OLEObject Type="Embed" ProgID="Equation.DSMT4" ShapeID="_x0000_i1036" DrawAspect="Content" ObjectID="_1468075736" r:id="rId26">
            <o:LockedField>false</o:LockedField>
          </o:OLEObject>
        </w:object>
      </w:r>
      <w:r>
        <w:t>的重要性权重</w:t>
      </w:r>
      <w:r>
        <w:rPr>
          <w:position w:val="-12"/>
        </w:rPr>
        <w:object>
          <v:shape id="_x0000_i1037" o:spt="75" type="#_x0000_t75" style="height:18.25pt;width:13.1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t>。softmax 函数的定义如下：</w:t>
      </w:r>
    </w:p>
    <w:p w14:paraId="7548ADD3">
      <w:pPr>
        <w:adjustRightInd w:val="0"/>
        <w:jc w:val="center"/>
        <w:rPr>
          <w:rFonts w:hint="eastAsia"/>
        </w:rPr>
      </w:pPr>
      <w:r>
        <w:rPr>
          <w:position w:val="-40"/>
        </w:rPr>
        <w:object>
          <v:shape id="_x0000_i1038" o:spt="75" type="#_x0000_t75" style="height:41.15pt;width:86.9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p>
    <w:p w14:paraId="11F162C4">
      <w:pPr>
        <w:adjustRightInd w:val="0"/>
      </w:pPr>
      <w:r>
        <w:rPr>
          <w:rFonts w:hint="eastAsia"/>
        </w:rPr>
        <w:t>其中，</w:t>
      </w:r>
      <w:r>
        <w:rPr>
          <w:rFonts w:hint="eastAsia"/>
          <w:position w:val="-12"/>
        </w:rPr>
        <w:object>
          <v:shape id="_x0000_i1039" o:spt="75" type="#_x0000_t75" style="height:18.25pt;width:14.9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rPr>
        <w:t>是一个随机初始化的向量，并在训练过程中进行学习。最后，句子向量 </w:t>
      </w:r>
      <w:r>
        <w:rPr>
          <w:position w:val="-6"/>
        </w:rPr>
        <w:object>
          <v:shape id="_x0000_i1040" o:spt="75" type="#_x0000_t75" style="height:11.2pt;width:7.9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rPr>
        <w:t> 被计算出来，用于总结初始句子的整体信息。</w:t>
      </w:r>
    </w:p>
    <w:p w14:paraId="75491367">
      <w:pPr>
        <w:adjustRightInd w:val="0"/>
        <w:jc w:val="center"/>
      </w:pPr>
      <w:r>
        <w:rPr>
          <w:position w:val="-22"/>
        </w:rPr>
        <w:object>
          <v:shape id="_x0000_i1041" o:spt="75" type="#_x0000_t75" style="height:22.9pt;width:50.9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p>
    <w:p w14:paraId="43AC1217">
      <w:pPr>
        <w:adjustRightInd w:val="0"/>
        <w:ind w:firstLine="420" w:firstLineChars="200"/>
      </w:pPr>
      <w:r>
        <w:rPr>
          <w:rFonts w:hint="eastAsia"/>
        </w:rPr>
        <w:t>图2展示了一个基于分布式注意力的TCN框架。该方法包含三个关键子模块：用于评估不同传感器权重的注意力机制、用于特征提取的TCN模块（TCM），以及用于评估不同时间步权重的注意力机制。第一个注意力机制负责对每个传感器在预测剩余使用寿命（RUL）时的贡献进行加权分析。随后，为了提取时间序列数据中的关键信息，采用了TCN模块。在TCN处理后，加入了另一个注意力机制，用于估算不同时间步的重要性权重。最后，利用全连接层将第二个注意力机制的输出进行合并，完成RUL的估计。以下是对每个子模块的详细说明。</w:t>
      </w:r>
    </w:p>
    <w:p w14:paraId="604BEAC6">
      <w:pPr>
        <w:adjustRightInd w:val="0"/>
        <w:ind w:firstLine="420" w:firstLineChars="200"/>
        <w:jc w:val="center"/>
      </w:pPr>
      <w:r>
        <w:drawing>
          <wp:inline distT="0" distB="0" distL="0" distR="0">
            <wp:extent cx="4259580" cy="2458085"/>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8"/>
                    <a:stretch>
                      <a:fillRect/>
                    </a:stretch>
                  </pic:blipFill>
                  <pic:spPr>
                    <a:xfrm>
                      <a:off x="0" y="0"/>
                      <a:ext cx="4261477" cy="2459097"/>
                    </a:xfrm>
                    <a:prstGeom prst="rect">
                      <a:avLst/>
                    </a:prstGeom>
                  </pic:spPr>
                </pic:pic>
              </a:graphicData>
            </a:graphic>
          </wp:inline>
        </w:drawing>
      </w:r>
    </w:p>
    <w:p w14:paraId="0D655902">
      <w:pPr>
        <w:adjustRightInd w:val="0"/>
        <w:ind w:firstLine="420" w:firstLineChars="200"/>
        <w:jc w:val="center"/>
      </w:pPr>
      <w:r>
        <w:rPr>
          <w:rFonts w:hint="eastAsia"/>
        </w:rPr>
        <w:t>图2所提方法的框架。</w:t>
      </w:r>
    </w:p>
    <w:p w14:paraId="253EAE86">
      <w:pPr>
        <w:adjustRightInd w:val="0"/>
        <w:jc w:val="center"/>
        <w:rPr>
          <w:rFonts w:hint="eastAsia"/>
          <w:b/>
          <w:bCs/>
          <w:sz w:val="24"/>
          <w:szCs w:val="32"/>
        </w:rPr>
      </w:pPr>
      <w:r>
        <w:rPr>
          <w:rFonts w:hint="eastAsia"/>
          <w:b/>
          <w:bCs/>
          <w:sz w:val="24"/>
          <w:szCs w:val="32"/>
        </w:rPr>
        <w:t>3.本文方法</w:t>
      </w:r>
    </w:p>
    <w:p w14:paraId="3FD429D9">
      <w:pPr>
        <w:pStyle w:val="8"/>
        <w:numPr>
          <w:ilvl w:val="0"/>
          <w:numId w:val="2"/>
        </w:numPr>
        <w:adjustRightInd w:val="0"/>
        <w:ind w:firstLineChars="0"/>
        <w:rPr>
          <w:b/>
          <w:bCs/>
          <w:sz w:val="22"/>
          <w:szCs w:val="28"/>
        </w:rPr>
      </w:pPr>
      <w:r>
        <w:rPr>
          <w:rFonts w:hint="eastAsia"/>
          <w:b/>
          <w:bCs/>
          <w:sz w:val="22"/>
          <w:szCs w:val="28"/>
        </w:rPr>
        <w:t>数据处理</w:t>
      </w:r>
    </w:p>
    <w:p w14:paraId="6E1FC676">
      <w:pPr>
        <w:adjustRightInd w:val="0"/>
        <w:ind w:firstLine="420" w:firstLineChars="200"/>
      </w:pPr>
      <w:r>
        <w:rPr>
          <w:rFonts w:hint="eastAsia"/>
        </w:rPr>
        <w:t>在训练有效的机器学习模型之前，数据预处理是必不可少的一步。对于每个剩余使用寿命（RUL）值，数据样本可表示为</w:t>
      </w:r>
      <w:r>
        <w:rPr>
          <w:position w:val="-12"/>
        </w:rPr>
        <w:object>
          <v:shape id="_x0000_i1042" o:spt="75" type="#_x0000_t75" style="height:19.15pt;width:108.9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rPr>
        <w:t>，其中</w:t>
      </w:r>
      <w:r>
        <w:rPr>
          <w:position w:val="-4"/>
        </w:rPr>
        <w:object>
          <v:shape id="_x0000_i1043" o:spt="75" type="#_x0000_t75" style="height:13.1pt;width:9.8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rPr>
        <w:t>是传感器数量，时间步表示为</w:t>
      </w:r>
      <w:r>
        <w:rPr>
          <w:position w:val="-12"/>
        </w:rPr>
        <w:object>
          <v:shape id="_x0000_i1044" o:spt="75" type="#_x0000_t75" style="height:18.25pt;width:6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rPr>
        <w:t>，而第</w:t>
      </w:r>
      <w:r>
        <w:rPr>
          <w:position w:val="-6"/>
        </w:rPr>
        <w:object>
          <v:shape id="_x0000_i1045" o:spt="75" type="#_x0000_t75" style="height:13.1pt;width:7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hint="eastAsia"/>
        </w:rPr>
        <w:t>个传感器</w:t>
      </w:r>
      <w:r>
        <w:rPr>
          <w:position w:val="-10"/>
        </w:rPr>
        <w:object>
          <v:shape id="_x0000_i1046" o:spt="75" type="#_x0000_t75" style="height:15.9pt;width:67.8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hint="eastAsia"/>
        </w:rPr>
        <w:t>的序列数据为</w:t>
      </w:r>
      <w:r>
        <w:rPr>
          <w:position w:val="-14"/>
        </w:rPr>
        <w:object>
          <v:shape id="_x0000_i1047" o:spt="75" type="#_x0000_t75" style="height:19.15pt;width:107.0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hint="eastAsia"/>
        </w:rPr>
        <w:t>。在预处理时，向量</w:t>
      </w:r>
      <w:r>
        <w:rPr>
          <w:rFonts w:hint="eastAsia"/>
          <w:position w:val="-12"/>
        </w:rPr>
        <w:object>
          <v:shape id="_x0000_i1048" o:spt="75" type="#_x0000_t75" style="height:18.25pt;width:12.1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rPr>
        <w:t>首先通过最小-最大归一化方法 [9] 进行标准化，其公式如下：</w:t>
      </w:r>
    </w:p>
    <w:p w14:paraId="14EF8A24">
      <w:pPr>
        <w:jc w:val="center"/>
      </w:pPr>
      <w:r>
        <w:rPr>
          <w:position w:val="-30"/>
        </w:rPr>
        <w:object>
          <v:shape id="_x0000_i1049" o:spt="75" type="#_x0000_t75" style="height:34.15pt;width:113.1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p>
    <w:p w14:paraId="5BBC7CCE">
      <w:pPr>
        <w:rPr>
          <w:rFonts w:hint="eastAsia"/>
        </w:rPr>
      </w:pPr>
      <w:r>
        <w:rPr>
          <w:rFonts w:hint="eastAsia"/>
        </w:rPr>
        <w:t>其中，</w:t>
      </w:r>
      <w:r>
        <w:rPr>
          <w:rFonts w:hint="eastAsia"/>
          <w:position w:val="-12"/>
        </w:rPr>
        <w:object>
          <v:shape id="_x0000_i1050" o:spt="75" type="#_x0000_t75" style="height:18.25pt;width:41.1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hint="eastAsia"/>
        </w:rPr>
        <w:t>和</w:t>
      </w:r>
      <w:r>
        <w:rPr>
          <w:rFonts w:hint="eastAsia"/>
          <w:position w:val="-12"/>
        </w:rPr>
        <w:object>
          <v:shape id="_x0000_i1051" o:spt="75" type="#_x0000_t75" style="height:18.25pt;width:42.1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rPr>
        <w:t>分别表示</w:t>
      </w:r>
      <w:r>
        <w:rPr>
          <w:rFonts w:hint="eastAsia"/>
          <w:position w:val="-12"/>
        </w:rPr>
        <w:object>
          <v:shape id="_x0000_i1052" o:spt="75" type="#_x0000_t75" style="height:18.25pt;width:12.1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rPr>
        <w:t>的最小值和最大值。其次，我们计算每个传感器序列数据的均值，公式如下：</w:t>
      </w:r>
    </w:p>
    <w:p w14:paraId="4DD95A6B">
      <w:pPr>
        <w:pStyle w:val="9"/>
        <w:rPr>
          <w:rFonts w:hint="eastAsia"/>
          <w:lang w:eastAsia="zh-CN"/>
        </w:rPr>
      </w:pPr>
      <m:oMathPara>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sup>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ctrlPr>
                    <w:rPr>
                      <w:rFonts w:ascii="Cambria Math" w:hAnsi="Cambria Math"/>
                    </w:rPr>
                  </m:ctrlPr>
                </m:e>
              </m:nary>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den>
          </m:f>
        </m:oMath>
      </m:oMathPara>
    </w:p>
    <w:p w14:paraId="31C23801">
      <w:pPr>
        <w:rPr>
          <w:rFonts w:hint="eastAsia"/>
        </w:rPr>
      </w:pPr>
      <w:r>
        <w:rPr>
          <w:rFonts w:hint="eastAsia"/>
        </w:rPr>
        <w:t>因此，均值向量可表示为</w:t>
      </w:r>
    </w:p>
    <w:p w14:paraId="49C8F002">
      <w:pPr>
        <w:pStyle w:val="6"/>
        <w:rPr>
          <w:rFonts w:hint="eastAsia"/>
        </w:rPr>
      </w:pPr>
      <w:r>
        <w:tab/>
      </w:r>
      <w:r>
        <w:rPr>
          <w:position w:val="-12"/>
        </w:rPr>
        <w:object>
          <v:shape id="_x0000_i1053" o:spt="75" type="#_x0000_t75" style="height:20.1pt;width:93.9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rPr>
        <w:br w:type="textWrapping"/>
      </w:r>
      <w:r>
        <w:rPr>
          <w:rFonts w:hint="eastAsia"/>
        </w:rPr>
        <w:t>作为另一种特征，还需要计算时间步与序列数据之间的回归系数。具体而言，如图3所示，将时间步作为x轴，</w:t>
      </w:r>
      <w:r>
        <w:rPr>
          <w:rFonts w:hint="eastAsia"/>
          <w:position w:val="-12"/>
        </w:rPr>
        <w:object>
          <v:shape id="_x0000_i1054" o:spt="75" type="#_x0000_t75" style="height:18.25pt;width:12.15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rPr>
        <w:t>作为y轴，通过拟合一条最佳直线，直线的斜率即为</w:t>
      </w:r>
      <w:r>
        <w:rPr>
          <w:rFonts w:hint="eastAsia"/>
          <w:position w:val="-12"/>
        </w:rPr>
        <w:object>
          <v:shape id="_x0000_i1055" o:spt="75" type="#_x0000_t75" style="height:18.25pt;width:12.15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hint="eastAsia"/>
        </w:rPr>
        <w:t>的回归系数。</w:t>
      </w:r>
      <w:r>
        <w:rPr>
          <w:rFonts w:hint="eastAsia"/>
        </w:rPr>
        <w:br w:type="textWrapping"/>
      </w:r>
      <w:r>
        <w:rPr>
          <w:rFonts w:hint="eastAsia"/>
        </w:rPr>
        <w:t>完成数据预处理后，第</w:t>
      </w:r>
      <w:r>
        <w:rPr>
          <w:rFonts w:hint="eastAsia"/>
          <w:position w:val="-6"/>
        </w:rPr>
        <w:object>
          <v:shape id="_x0000_i1056" o:spt="75" type="#_x0000_t75" style="height:13.1pt;width:7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hint="eastAsia"/>
        </w:rPr>
        <w:t>个传感器</w:t>
      </w:r>
      <w:r>
        <w:rPr>
          <w:position w:val="-10"/>
        </w:rPr>
        <w:object>
          <v:shape id="_x0000_i1057" o:spt="75" type="#_x0000_t75" style="height:15.9pt;width:67.8pt;" o:ole="t" filled="f" o:preferrelative="t" stroked="f" coordsize="21600,21600">
            <v:path/>
            <v:fill on="f" focussize="0,0"/>
            <v:stroke on="f" joinstyle="miter"/>
            <v:imagedata r:id="rId48" o:title=""/>
            <o:lock v:ext="edit" aspectratio="t"/>
            <w10:wrap type="none"/>
            <w10:anchorlock/>
          </v:shape>
          <o:OLEObject Type="Embed" ProgID="Equation.DSMT4" ShapeID="_x0000_i1057" DrawAspect="Content" ObjectID="_1468075757" r:id="rId69">
            <o:LockedField>false</o:LockedField>
          </o:OLEObject>
        </w:object>
      </w:r>
      <w:r>
        <w:rPr>
          <w:rFonts w:hint="eastAsia"/>
        </w:rPr>
        <w:t>的数据样本</w:t>
      </w:r>
      <w:r>
        <w:rPr>
          <w:rFonts w:hint="eastAsia"/>
          <w:position w:val="-12"/>
        </w:rPr>
        <w:object>
          <v:shape id="_x0000_i1058" o:spt="75" type="#_x0000_t75" style="height:18.25pt;width:12.15pt;" o:ole="t" filled="f" o:preferrelative="t" stroked="f" coordsize="21600,21600">
            <v:path/>
            <v:fill on="f" focussize="0,0"/>
            <v:stroke on="f" joinstyle="miter"/>
            <v:imagedata r:id="rId66" o:title=""/>
            <o:lock v:ext="edit" aspectratio="t"/>
            <w10:wrap type="none"/>
            <w10:anchorlock/>
          </v:shape>
          <o:OLEObject Type="Embed" ProgID="Equation.DSMT4" ShapeID="_x0000_i1058" DrawAspect="Content" ObjectID="_1468075758" r:id="rId70">
            <o:LockedField>false</o:LockedField>
          </o:OLEObject>
        </w:object>
      </w:r>
      <w:r>
        <w:rPr>
          <w:rFonts w:hint="eastAsia"/>
        </w:rPr>
        <w:t>被更新为 </w:t>
      </w:r>
    </w:p>
    <w:p w14:paraId="0F96BB97">
      <w:pPr>
        <w:pStyle w:val="6"/>
      </w:pPr>
      <w:r>
        <w:tab/>
      </w:r>
      <w:r>
        <w:rPr>
          <w:position w:val="-14"/>
        </w:rPr>
        <w:object>
          <v:shape id="_x0000_i1059" o:spt="75" type="#_x0000_t75" style="height:21.05pt;width:136.05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p>
    <w:p w14:paraId="53769A68">
      <w:pPr>
        <w:jc w:val="center"/>
      </w:pPr>
      <w:r>
        <w:drawing>
          <wp:inline distT="0" distB="0" distL="0" distR="0">
            <wp:extent cx="3032125" cy="1656080"/>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3"/>
                    <a:stretch>
                      <a:fillRect/>
                    </a:stretch>
                  </pic:blipFill>
                  <pic:spPr>
                    <a:xfrm>
                      <a:off x="0" y="0"/>
                      <a:ext cx="3037085" cy="1659085"/>
                    </a:xfrm>
                    <a:prstGeom prst="rect">
                      <a:avLst/>
                    </a:prstGeom>
                  </pic:spPr>
                </pic:pic>
              </a:graphicData>
            </a:graphic>
          </wp:inline>
        </w:drawing>
      </w:r>
    </w:p>
    <w:p w14:paraId="333FA212">
      <w:pPr>
        <w:jc w:val="center"/>
        <w:rPr>
          <w:rFonts w:hint="eastAsia"/>
        </w:rPr>
      </w:pPr>
      <w:r>
        <w:rPr>
          <w:rFonts w:hint="eastAsia"/>
        </w:rPr>
        <w:t>图3时间步长与其对应传感器数据之间的回归系数。</w:t>
      </w:r>
    </w:p>
    <w:p w14:paraId="0204C6B9">
      <w:pPr>
        <w:rPr>
          <w:b/>
          <w:bCs/>
          <w:sz w:val="22"/>
          <w:szCs w:val="28"/>
        </w:rPr>
      </w:pPr>
      <w:r>
        <w:rPr>
          <w:rFonts w:hint="eastAsia"/>
          <w:b/>
          <w:bCs/>
          <w:sz w:val="22"/>
          <w:szCs w:val="28"/>
        </w:rPr>
        <w:t>B. 注意力机制对不同传感器的加权</w:t>
      </w:r>
    </w:p>
    <w:p w14:paraId="0C8F1830">
      <w:pPr>
        <w:jc w:val="center"/>
      </w:pPr>
      <w:r>
        <w:drawing>
          <wp:inline distT="0" distB="0" distL="0" distR="0">
            <wp:extent cx="3943350" cy="16478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4"/>
                    <a:stretch>
                      <a:fillRect/>
                    </a:stretch>
                  </pic:blipFill>
                  <pic:spPr>
                    <a:xfrm>
                      <a:off x="0" y="0"/>
                      <a:ext cx="3943900" cy="1648055"/>
                    </a:xfrm>
                    <a:prstGeom prst="rect">
                      <a:avLst/>
                    </a:prstGeom>
                  </pic:spPr>
                </pic:pic>
              </a:graphicData>
            </a:graphic>
          </wp:inline>
        </w:drawing>
      </w:r>
    </w:p>
    <w:p w14:paraId="6F472A9A">
      <w:pPr>
        <w:jc w:val="center"/>
      </w:pPr>
      <w:r>
        <w:rPr>
          <w:rFonts w:hint="eastAsia"/>
        </w:rPr>
        <w:t>图4本文使用的注意力机制。</w:t>
      </w:r>
    </w:p>
    <w:p w14:paraId="78FC9375">
      <w:r>
        <w:rPr>
          <w:rFonts w:hint="eastAsia"/>
        </w:rPr>
        <w:t>在所提网络中，首先通过注意力机制对不同传感器的贡献进行加权。令时间步</w:t>
      </w:r>
      <w:r>
        <w:rPr>
          <w:position w:val="-6"/>
        </w:rPr>
        <w:object>
          <v:shape id="_x0000_i1060" o:spt="75" type="#_x0000_t75" style="height:13.1pt;width:7.95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hint="eastAsia"/>
        </w:rPr>
        <w:t>处的传感器数据为</w:t>
      </w:r>
      <w:r>
        <w:rPr>
          <w:position w:val="-14"/>
        </w:rPr>
        <w:object>
          <v:shape id="_x0000_i1061" o:spt="75" type="#_x0000_t75" style="height:19.15pt;width:83.2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hint="eastAsia"/>
        </w:rPr>
        <w:t>。注意力机制将同一时刻收集到的传感器数据作为输入，如图4所示，并根据以下公式计算每个传感器的重要性权重：</w:t>
      </w:r>
    </w:p>
    <w:p w14:paraId="674BB501">
      <w:pPr>
        <w:jc w:val="center"/>
      </w:pPr>
      <w:r>
        <w:rPr>
          <w:position w:val="-34"/>
        </w:rPr>
        <w:object>
          <v:shape id="_x0000_i1062" o:spt="75" type="#_x0000_t75" style="height:37.85pt;width:88.85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p>
    <w:p w14:paraId="3253C5D9">
      <w:r>
        <w:rPr>
          <w:rFonts w:hint="eastAsia"/>
        </w:rPr>
        <w:t>其中</w:t>
      </w:r>
      <w:r>
        <w:rPr>
          <w:position w:val="-14"/>
        </w:rPr>
        <w:object>
          <v:shape id="_x0000_i1063" o:spt="75" type="#_x0000_t75" style="height:19.15pt;width:86.95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p>
    <w:p w14:paraId="71E1D190">
      <w:r>
        <w:rPr>
          <w:rFonts w:hint="eastAsia"/>
          <w:position w:val="-14"/>
        </w:rPr>
        <w:object>
          <v:shape id="_x0000_i1064" o:spt="75" type="#_x0000_t75" style="height:19.15pt;width:18.25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hint="eastAsia"/>
        </w:rPr>
        <w:t>是在训练过程中需要优化的隐藏向量。因此，第</w:t>
      </w:r>
      <w:r>
        <w:rPr>
          <w:position w:val="-6"/>
        </w:rPr>
        <w:object>
          <v:shape id="_x0000_i1065" o:spt="75" type="#_x0000_t75" style="height:13.1pt;width:7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hint="eastAsia"/>
        </w:rPr>
        <w:t>个传感器的重要性权重向量为</w:t>
      </w:r>
      <w:r>
        <w:rPr>
          <w:position w:val="-14"/>
        </w:rPr>
        <w:object>
          <v:shape id="_x0000_i1066" o:spt="75" type="#_x0000_t75" style="height:19.15pt;width:90.25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hint="eastAsia"/>
        </w:rPr>
        <w:t>。接着，我们计算这些重要性权重的平均值，公式如下：</w:t>
      </w:r>
    </w:p>
    <w:p w14:paraId="07B53522">
      <w:pPr>
        <w:pStyle w:val="6"/>
        <w:rPr>
          <w:rFonts w:hint="eastAsia"/>
        </w:rPr>
      </w:pPr>
      <w:r>
        <w:tab/>
      </w:r>
      <w:r>
        <w:rPr>
          <w:position w:val="-32"/>
        </w:rPr>
        <w:object>
          <v:shape id="_x0000_i1067" o:spt="75" type="#_x0000_t75" style="height:36.95pt;width:66.85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p>
    <w:p w14:paraId="72BD2EC0">
      <w:r>
        <w:rPr>
          <w:rFonts w:hint="eastAsia"/>
        </w:rPr>
        <w:t>最后，第</w:t>
      </w:r>
      <w:r>
        <w:rPr>
          <w:rFonts w:hint="eastAsia"/>
          <w:position w:val="-6"/>
        </w:rPr>
        <w:object>
          <v:shape id="_x0000_i1068" o:spt="75" type="#_x0000_t75" style="height:13.1pt;width:7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r>
        <w:rPr>
          <w:rFonts w:hint="eastAsia"/>
        </w:rPr>
        <w:t>个传感器可以通过以下公式进行加权：</w:t>
      </w:r>
    </w:p>
    <w:p w14:paraId="42095691">
      <w:pPr>
        <w:pStyle w:val="6"/>
        <w:rPr>
          <w:rFonts w:hint="eastAsia"/>
        </w:rPr>
      </w:pPr>
      <w:r>
        <w:tab/>
      </w:r>
      <w:r>
        <w:rPr>
          <w:position w:val="-18"/>
        </w:rPr>
        <w:object>
          <v:shape id="_x0000_i1069" o:spt="75" type="#_x0000_t75" style="height:23.85pt;width:187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p>
    <w:p w14:paraId="02638DA5">
      <w:r>
        <w:rPr>
          <w:rFonts w:hint="eastAsia"/>
        </w:rPr>
        <w:t>其中，</w:t>
      </w:r>
      <w:r>
        <w:rPr>
          <w:rFonts w:hint="eastAsia"/>
          <w:position w:val="-12"/>
        </w:rPr>
        <w:object>
          <v:shape id="_x0000_i1070" o:spt="75" type="#_x0000_t75" style="height:18.25pt;width:11.2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r>
        <w:rPr>
          <w:rFonts w:hint="eastAsia"/>
        </w:rPr>
        <w:t>是</w:t>
      </w:r>
      <w:r>
        <w:rPr>
          <w:position w:val="-12"/>
        </w:rPr>
        <w:object>
          <v:shape id="_x0000_i1071" o:spt="75" type="#_x0000_t75" style="height:18.25pt;width:12.15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rFonts w:hint="eastAsia"/>
        </w:rPr>
        <w:t>的注意力输出。经过第一个注意力机制的处理后，每个传感器收集到的信号都会根据其重要性进行加权。</w:t>
      </w:r>
    </w:p>
    <w:p w14:paraId="3A16C564">
      <w:pPr>
        <w:rPr>
          <w:b/>
          <w:bCs/>
          <w:sz w:val="22"/>
          <w:szCs w:val="28"/>
        </w:rPr>
      </w:pPr>
      <w:r>
        <w:rPr>
          <w:rFonts w:hint="eastAsia"/>
          <w:b/>
          <w:bCs/>
          <w:sz w:val="22"/>
          <w:szCs w:val="28"/>
        </w:rPr>
        <w:t>C．用于特征表示的时间卷积模块</w:t>
      </w:r>
    </w:p>
    <w:p w14:paraId="68304D14">
      <w:pPr>
        <w:ind w:firstLine="420" w:firstLineChars="200"/>
      </w:pPr>
      <w:r>
        <w:rPr>
          <w:rFonts w:hint="eastAsia"/>
        </w:rPr>
        <w:t>本文中的时间卷积模块（TCM）由两个残差块组成。每个残差块包含两个膨胀因果卷积层和一个普通卷积层（如图 1(b) 所示）。通过将输入直接添加到卷积输出，实现了残差连接。每个膨胀因果卷积层之后，都会应用一些深度学习技巧，例如门控激活函数 [24] 和批归一化（BN） [25]。门控激活函数的定义如下：</w:t>
      </w:r>
    </w:p>
    <w:p w14:paraId="2B2AC1F9">
      <w:pPr>
        <w:jc w:val="center"/>
      </w:pPr>
      <w:r>
        <w:rPr>
          <w:position w:val="-10"/>
        </w:rPr>
        <w:object>
          <v:shape id="_x0000_i1072" o:spt="75" type="#_x0000_t75" style="height:16.85pt;width:158.95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p>
    <w:p w14:paraId="1FAA9C1D">
      <w:r>
        <w:rPr>
          <w:rFonts w:hint="eastAsia"/>
        </w:rPr>
        <w:t>其中，</w:t>
      </w:r>
      <w:r>
        <w:rPr>
          <w:rFonts w:hint="eastAsia"/>
          <w:position w:val="-6"/>
        </w:rPr>
        <w:object>
          <v:shape id="_x0000_i1073" o:spt="75" type="#_x0000_t75" style="height:11.2pt;width:13.1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rFonts w:hint="eastAsia"/>
        </w:rPr>
        <w:t>是卷积参数，</w:t>
      </w:r>
      <w:r>
        <w:rPr>
          <w:rFonts w:hint="eastAsia"/>
          <w:position w:val="-6"/>
        </w:rPr>
        <w:object>
          <v:shape id="_x0000_i1074" o:spt="75" type="#_x0000_t75" style="height:11.2pt;width:9.8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rPr>
          <w:rFonts w:hint="eastAsia"/>
        </w:rPr>
        <w:t>是膨胀因果卷积层的输出，</w:t>
      </w:r>
      <w:r>
        <w:rPr>
          <w:rFonts w:hint="eastAsia" w:ascii="MS Gothic" w:hAnsi="MS Gothic" w:eastAsia="MS Gothic" w:cs="MS Gothic"/>
        </w:rPr>
        <w:t>∗</w:t>
      </w:r>
      <w:r>
        <w:rPr>
          <w:rFonts w:hint="eastAsia"/>
        </w:rPr>
        <w:t>表示卷积操作，</w:t>
      </w:r>
      <w:r>
        <w:rPr>
          <w:rFonts w:hint="eastAsia" w:ascii="宋体" w:hAnsi="宋体" w:eastAsia="宋体" w:cs="宋体"/>
        </w:rPr>
        <w:t>⊙</w:t>
      </w:r>
      <w:r>
        <w:rPr>
          <w:rFonts w:hint="eastAsia"/>
        </w:rPr>
        <w:t> 表示逐元素相乘，</w:t>
      </w:r>
      <w:r>
        <w:rPr>
          <w:rFonts w:hint="eastAsia"/>
          <w:position w:val="-6"/>
        </w:rPr>
        <w:object>
          <v:shape id="_x0000_i1075" o:spt="75" type="#_x0000_t75" style="height:14.95pt;width:9.8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hint="eastAsia"/>
        </w:rPr>
        <w:t>是经过门控激活处理后的输出。研究表明，门控激活在提升深度学习模型性能方面效果显著 [26]。</w:t>
      </w:r>
    </w:p>
    <w:p w14:paraId="644AA5F7">
      <w:pPr>
        <w:ind w:firstLine="420" w:firstLineChars="200"/>
      </w:pPr>
      <w:r>
        <w:rPr>
          <w:rFonts w:hint="eastAsia"/>
        </w:rPr>
        <w:t>由于 TCM 的输入数据来源于多个传感器，该模块采用一维卷积核分别对每个传感器的序列数据进行处理。如图 5 所示，TCN 在时间维度上对二维传感器数据应用一维膨胀因果卷积层，并在同一阶段共享卷积权重。这种参数共享策略有效减少了计算成本，同时避免了训练过程中可能出现的过拟合问题。</w:t>
      </w:r>
      <w:r>
        <w:rPr>
          <w:rFonts w:hint="eastAsia"/>
        </w:rPr>
        <w:br w:type="textWrapping"/>
      </w:r>
      <w:r>
        <w:rPr>
          <w:rFonts w:hint="eastAsia"/>
        </w:rPr>
        <w:t xml:space="preserve">  时间卷积模块从加权后的输入数据中提取时间维度的特征。与传统卷积操作相比，时间卷积能够捕捉序列数据中的因果关系。</w:t>
      </w:r>
    </w:p>
    <w:p w14:paraId="7F1F36EE">
      <w:pPr>
        <w:ind w:firstLine="420" w:firstLineChars="200"/>
        <w:jc w:val="center"/>
      </w:pPr>
      <w:r>
        <w:drawing>
          <wp:inline distT="0" distB="0" distL="0" distR="0">
            <wp:extent cx="5274310" cy="2944495"/>
            <wp:effectExtent l="0" t="0" r="254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7"/>
                    <a:stretch>
                      <a:fillRect/>
                    </a:stretch>
                  </pic:blipFill>
                  <pic:spPr>
                    <a:xfrm>
                      <a:off x="0" y="0"/>
                      <a:ext cx="5274310" cy="2944495"/>
                    </a:xfrm>
                    <a:prstGeom prst="rect">
                      <a:avLst/>
                    </a:prstGeom>
                  </pic:spPr>
                </pic:pic>
              </a:graphicData>
            </a:graphic>
          </wp:inline>
        </w:drawing>
      </w:r>
    </w:p>
    <w:p w14:paraId="646ACAD3">
      <w:pPr>
        <w:ind w:firstLine="420" w:firstLineChars="200"/>
        <w:jc w:val="center"/>
        <w:rPr>
          <w:rFonts w:hint="eastAsia"/>
        </w:rPr>
      </w:pPr>
      <w:r>
        <w:rPr>
          <w:rFonts w:hint="eastAsia"/>
        </w:rPr>
        <w:t>图5 TCM的结构</w:t>
      </w:r>
    </w:p>
    <w:p w14:paraId="4A97A9B2">
      <w:r>
        <w:rPr>
          <w:rFonts w:hint="eastAsia"/>
        </w:rPr>
        <w:t>D. 注意力机制对不同时间步的加权</w:t>
      </w:r>
    </w:p>
    <w:p w14:paraId="4E794BCF">
      <w:pPr>
        <w:ind w:firstLine="420" w:firstLineChars="200"/>
      </w:pPr>
      <w:r>
        <w:rPr>
          <w:rFonts w:hint="eastAsia"/>
        </w:rPr>
        <w:t>在这个过程中，时间卷积模块（TCM）的输出会在时间维度上通过另一种注意力机制进行加权处理。此操作的目的是找出那些对剩余使用寿命（RUL）估计贡献更大的关键时间点。TCM 的输入和输出大小相同。假设 TCM 的输出表示为</w:t>
      </w:r>
    </w:p>
    <w:p w14:paraId="187E02F8">
      <w:pPr>
        <w:pStyle w:val="6"/>
        <w:rPr>
          <w:rFonts w:hint="eastAsia"/>
        </w:rPr>
      </w:pPr>
      <w:r>
        <w:tab/>
      </w:r>
      <w:r>
        <w:rPr>
          <w:position w:val="-14"/>
        </w:rPr>
        <w:object>
          <v:shape id="_x0000_i1076" o:spt="75" type="#_x0000_t75" style="height:23.85pt;width:156.15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p>
    <w:p w14:paraId="193F3BE0">
      <w:r>
        <w:rPr>
          <w:rFonts w:hint="eastAsia"/>
        </w:rPr>
        <w:t>接着，我们在时间维度上对</w:t>
      </w:r>
      <w:r>
        <w:rPr>
          <w:rFonts w:hint="eastAsia"/>
          <w:position w:val="-6"/>
        </w:rPr>
        <w:object>
          <v:shape id="_x0000_i1077" o:spt="75" type="#_x0000_t75" style="height:20.1pt;width:16.85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rPr>
          <w:rFonts w:hint="eastAsia"/>
        </w:rPr>
        <w:t>应用 Softmax 函数，其形式为：</w:t>
      </w:r>
    </w:p>
    <w:p w14:paraId="6B9CD842">
      <w:pPr>
        <w:jc w:val="center"/>
      </w:pPr>
      <w:r>
        <w:rPr>
          <w:position w:val="-38"/>
        </w:rPr>
        <w:object>
          <v:shape id="_x0000_i1078" o:spt="75" type="#_x0000_t75" style="height:43.95pt;width:94.9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p>
    <w:p w14:paraId="72C1132F">
      <w:r>
        <w:rPr>
          <w:rFonts w:hint="eastAsia"/>
        </w:rPr>
        <w:t>其中</w:t>
      </w:r>
      <w:r>
        <w:rPr>
          <w:position w:val="-14"/>
        </w:rPr>
        <w:object>
          <v:shape id="_x0000_i1079" o:spt="75" type="#_x0000_t75" style="height:20.1pt;width:117.8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hint="eastAsia"/>
        </w:rPr>
        <w:t>，</w:t>
      </w:r>
      <w:r>
        <w:rPr>
          <w:rFonts w:hint="eastAsia"/>
          <w:position w:val="-14"/>
        </w:rPr>
        <w:object>
          <v:shape id="_x0000_i1080" o:spt="75" type="#_x0000_t75" style="height:19.15pt;width:19.15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r>
        <w:rPr>
          <w:rFonts w:hint="eastAsia"/>
        </w:rPr>
        <w:t>是一个随机生成的隐藏向量。第</w:t>
      </w:r>
      <w:r>
        <w:rPr>
          <w:position w:val="-6"/>
        </w:rPr>
        <w:object>
          <v:shape id="_x0000_i1081" o:spt="75" type="#_x0000_t75" style="height:12.15pt;width:7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r>
        <w:rPr>
          <w:rFonts w:hint="eastAsia"/>
        </w:rPr>
        <w:t>个时间步的重要性权重向量表示为</w:t>
      </w:r>
      <w:r>
        <w:rPr>
          <w:position w:val="-14"/>
        </w:rPr>
        <w:object>
          <v:shape id="_x0000_i1082" o:spt="75" type="#_x0000_t75" style="height:19.15pt;width:84.15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r>
        <w:t xml:space="preserve"> </w:t>
      </w:r>
      <w:r>
        <w:rPr>
          <w:rFonts w:hint="eastAsia"/>
        </w:rPr>
        <w:t>并且</w:t>
      </w:r>
      <w:r>
        <w:rPr>
          <w:rFonts w:hint="eastAsia"/>
          <w:position w:val="-12"/>
        </w:rPr>
        <w:object>
          <v:shape id="_x0000_i1083" o:spt="75" type="#_x0000_t75" style="height:18.25pt;width:12.15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r>
        <w:rPr>
          <w:rFonts w:hint="eastAsia"/>
        </w:rPr>
        <w:t>中每个元素的平均值为 </w:t>
      </w:r>
      <w:r>
        <w:rPr>
          <w:position w:val="-12"/>
        </w:rPr>
        <w:object>
          <v:shape id="_x0000_i1084" o:spt="75" type="#_x0000_t75" style="height:19.15pt;width:12.15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r>
        <w:rPr>
          <w:rFonts w:hint="eastAsia"/>
        </w:rPr>
        <w:t>。假设第</w:t>
      </w:r>
      <w:r>
        <w:rPr>
          <w:position w:val="-6"/>
        </w:rPr>
        <w:object>
          <v:shape id="_x0000_i1085" o:spt="75" type="#_x0000_t75" style="height:12.15pt;width:7pt;" o:ole="t" filled="f" o:preferrelative="t" stroked="f" coordsize="21600,21600">
            <v:path/>
            <v:fill on="f" focussize="0,0"/>
            <v:stroke on="f" joinstyle="miter"/>
            <v:imagedata r:id="rId119" o:title=""/>
            <o:lock v:ext="edit" aspectratio="t"/>
            <w10:wrap type="none"/>
            <w10:anchorlock/>
          </v:shape>
          <o:OLEObject Type="Embed" ProgID="Equation.DSMT4" ShapeID="_x0000_i1085" DrawAspect="Content" ObjectID="_1468075785" r:id="rId126">
            <o:LockedField>false</o:LockedField>
          </o:OLEObject>
        </w:object>
      </w:r>
      <w:r>
        <w:rPr>
          <w:rFonts w:hint="eastAsia"/>
        </w:rPr>
        <w:t>时间步的数据为</w:t>
      </w:r>
      <w:r>
        <w:rPr>
          <w:position w:val="-14"/>
        </w:rPr>
        <w:object>
          <v:shape id="_x0000_i1086" o:spt="75" type="#_x0000_t75" style="height:20.1pt;width:88.85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hint="eastAsia"/>
        </w:rPr>
        <w:t>那么注意力机制对</w:t>
      </w:r>
      <w:r>
        <w:rPr>
          <w:rFonts w:hint="eastAsia"/>
          <w:position w:val="-12"/>
        </w:rPr>
        <w:object>
          <v:shape id="_x0000_i1087" o:spt="75" type="#_x0000_t75" style="height:19.15pt;width:16.85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hint="eastAsia"/>
        </w:rPr>
        <w:t>的输出表示为：</w:t>
      </w:r>
      <w:r>
        <w:t xml:space="preserve"> </w:t>
      </w:r>
    </w:p>
    <w:p w14:paraId="7E2DC090">
      <w:pPr>
        <w:jc w:val="center"/>
      </w:pPr>
      <w:r>
        <w:rPr>
          <w:position w:val="-14"/>
        </w:rPr>
        <w:object>
          <v:shape id="_x0000_i1088" o:spt="75" type="#_x0000_t75" style="height:23.85pt;width:120.15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p>
    <w:p w14:paraId="6357733A">
      <w:pPr>
        <w:rPr>
          <w:b/>
          <w:bCs/>
          <w:sz w:val="22"/>
          <w:szCs w:val="28"/>
        </w:rPr>
      </w:pPr>
      <w:r>
        <w:rPr>
          <w:rFonts w:hint="eastAsia"/>
          <w:b/>
          <w:bCs/>
          <w:sz w:val="22"/>
          <w:szCs w:val="28"/>
        </w:rPr>
        <w:t>E. 本方法的参数设置</w:t>
      </w:r>
    </w:p>
    <w:p w14:paraId="736805F9">
      <w:pPr>
        <w:rPr>
          <w:rFonts w:hint="eastAsia"/>
        </w:rPr>
      </w:pPr>
      <w:r>
        <w:rPr>
          <w:rFonts w:hint="eastAsia"/>
        </w:rPr>
        <w:t>注意力机制通过 Softmax 函数计算权重，其参数</w:t>
      </w:r>
      <w:r>
        <w:rPr>
          <w:rFonts w:hint="eastAsia"/>
          <w:position w:val="-14"/>
        </w:rPr>
        <w:object>
          <v:shape id="_x0000_i1089" o:spt="75" type="#_x0000_t75" style="height:19.15pt;width:18.25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hint="eastAsia"/>
        </w:rPr>
        <w:t>和</w:t>
      </w:r>
      <w:r>
        <w:rPr>
          <w:rFonts w:hint="eastAsia"/>
          <w:position w:val="-14"/>
        </w:rPr>
        <w:object>
          <v:shape id="_x0000_i1090" o:spt="75" type="#_x0000_t75" style="height:19.15pt;width:19.15pt;" o:ole="t" filled="f" o:preferrelative="t" stroked="f" coordsize="21600,21600">
            <v:path/>
            <v:fill on="f" focussize="0,0"/>
            <v:stroke on="f" joinstyle="miter"/>
            <v:imagedata r:id="rId117" o:title=""/>
            <o:lock v:ext="edit" aspectratio="t"/>
            <w10:wrap type="none"/>
            <w10:anchorlock/>
          </v:shape>
          <o:OLEObject Type="Embed" ProgID="Equation.DSMT4" ShapeID="_x0000_i1090" DrawAspect="Content" ObjectID="_1468075790" r:id="rId135">
            <o:LockedField>false</o:LockedField>
          </o:OLEObject>
        </w:object>
      </w:r>
      <w:r>
        <w:rPr>
          <w:rFonts w:hint="eastAsia"/>
        </w:rPr>
        <w:t>初始为随机生成，并在训练过程中逐步学习优化。采用网格搜索策略确定了TCM和全连接层的最佳参数配置，具体列于表</w:t>
      </w:r>
      <w:r>
        <w:rPr>
          <w:rFonts w:hint="eastAsia"/>
          <w:lang w:val="en-US" w:eastAsia="zh-CN"/>
        </w:rPr>
        <w:t>1</w:t>
      </w:r>
      <w:r>
        <w:rPr>
          <w:rFonts w:hint="eastAsia"/>
        </w:rPr>
        <w:t>。</w:t>
      </w:r>
    </w:p>
    <w:p w14:paraId="40FD41DC">
      <w:pPr>
        <w:jc w:val="center"/>
      </w:pPr>
      <w:r>
        <w:rPr>
          <w:rFonts w:hint="eastAsia"/>
        </w:rPr>
        <w:t>表1所提方法的参数</w:t>
      </w:r>
    </w:p>
    <w:p w14:paraId="250B7A35">
      <w:pPr>
        <w:jc w:val="center"/>
        <w:rPr>
          <w:rFonts w:hint="eastAsia"/>
        </w:rPr>
      </w:pPr>
      <w:r>
        <w:drawing>
          <wp:inline distT="0" distB="0" distL="0" distR="0">
            <wp:extent cx="3749675" cy="3627755"/>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6"/>
                    <a:stretch>
                      <a:fillRect/>
                    </a:stretch>
                  </pic:blipFill>
                  <pic:spPr>
                    <a:xfrm>
                      <a:off x="0" y="0"/>
                      <a:ext cx="3754331" cy="3632297"/>
                    </a:xfrm>
                    <a:prstGeom prst="rect">
                      <a:avLst/>
                    </a:prstGeom>
                  </pic:spPr>
                </pic:pic>
              </a:graphicData>
            </a:graphic>
          </wp:inline>
        </w:drawing>
      </w:r>
    </w:p>
    <w:p w14:paraId="5A26F24E">
      <w:pPr>
        <w:jc w:val="center"/>
        <w:rPr>
          <w:b/>
          <w:bCs/>
          <w:sz w:val="24"/>
          <w:szCs w:val="32"/>
        </w:rPr>
      </w:pPr>
      <w:r>
        <w:rPr>
          <w:rFonts w:hint="eastAsia"/>
          <w:b/>
          <w:bCs/>
          <w:sz w:val="24"/>
          <w:szCs w:val="32"/>
        </w:rPr>
        <w:t>4.实验结果与分析</w:t>
      </w:r>
    </w:p>
    <w:p w14:paraId="3EA427CA">
      <w:pPr>
        <w:ind w:firstLine="420" w:firstLineChars="200"/>
      </w:pPr>
      <w:r>
        <w:rPr>
          <w:rFonts w:hint="eastAsia"/>
        </w:rPr>
        <w:t>本节详细展示了数据集、评估指标、实验结果以及相关分析。实验的训练与测试在 GeForce RTX 2080 显卡上完成，使用 Keras [27] 框架并基于 TensorFlow [28] 运行。优化算法选择了修正版 Adam 优化器 [29]，训练共进行 100 个周期，初始学习率为 0.001，在第 80 个周期后减小至 0.0001。批量大小设置为 512。</w:t>
      </w:r>
    </w:p>
    <w:p w14:paraId="386BC0AA">
      <w:pPr>
        <w:rPr>
          <w:b/>
          <w:bCs/>
          <w:sz w:val="22"/>
          <w:szCs w:val="28"/>
        </w:rPr>
      </w:pPr>
      <w:r>
        <w:rPr>
          <w:rFonts w:hint="eastAsia"/>
          <w:b/>
          <w:bCs/>
          <w:sz w:val="22"/>
          <w:szCs w:val="28"/>
        </w:rPr>
        <w:t>A.数据集</w:t>
      </w:r>
    </w:p>
    <w:p w14:paraId="1F5EF96A">
      <w:pPr>
        <w:ind w:firstLine="420" w:firstLineChars="200"/>
      </w:pPr>
      <w:r>
        <w:rPr>
          <w:rFonts w:hint="eastAsia"/>
        </w:rPr>
        <w:t>商用模块化航空推进系统模拟（C-MAPSS）[30] 是 RUL（剩余使用寿命）预测领域的经典数据集。它通过模拟多种涡扇发动机在不同飞行条件和故障模式下的性能退化及损伤传播，提供了非常真实的数据集支持。整个数据集中记录了涡扇发动机生命周期内的 RUL 数据以及 21 个传感器的时间序列数据。由于发动机初始状态的磨损程度未知，因此假设其在运行初期是完全健康的。当发生故障时，发动机性能会随时间逐步下降，从运行到故障的整个过程被定义为发动机的生命周期。在测试数据集中，所有样本数据都来自系统完全故障前的阶段。</w:t>
      </w:r>
    </w:p>
    <w:p w14:paraId="19931ACC">
      <w:pPr>
        <w:ind w:firstLine="420" w:firstLineChars="200"/>
      </w:pPr>
      <w:r>
        <w:rPr>
          <w:rFonts w:hint="eastAsia"/>
        </w:rPr>
        <w:t>C-MAPSS 数据集包括四个子数据集（见表</w:t>
      </w:r>
      <w:r>
        <w:rPr>
          <w:rFonts w:hint="eastAsia"/>
          <w:lang w:val="en-US" w:eastAsia="zh-CN"/>
        </w:rPr>
        <w:t>2</w:t>
      </w:r>
      <w:r>
        <w:rPr>
          <w:rFonts w:hint="eastAsia"/>
        </w:rPr>
        <w:t>），其中囊括了因操作模式及其他条件变化而引发的四种故障类型：单故障单模式、单故障多模式、多故障单模式以及多故障多模式。具体来说，FD001 和 FD003 只有一个操作模式，而 FD002 和 FD004 则覆盖了六种操作模式。</w:t>
      </w:r>
    </w:p>
    <w:p w14:paraId="3114B91E">
      <w:pPr>
        <w:ind w:firstLine="420" w:firstLineChars="200"/>
        <w:jc w:val="center"/>
      </w:pPr>
      <w:r>
        <w:rPr>
          <w:rFonts w:hint="eastAsia"/>
        </w:rPr>
        <w:t>表2 C-MAPSS 数据集中的四个子数据集的详细信息</w:t>
      </w:r>
    </w:p>
    <w:p w14:paraId="5B9319FF">
      <w:pPr>
        <w:ind w:firstLine="420" w:firstLineChars="200"/>
        <w:jc w:val="center"/>
        <w:rPr>
          <w:rFonts w:hint="eastAsia"/>
        </w:rPr>
      </w:pPr>
      <w:r>
        <w:drawing>
          <wp:inline distT="0" distB="0" distL="0" distR="0">
            <wp:extent cx="4915535" cy="11715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7"/>
                    <a:stretch>
                      <a:fillRect/>
                    </a:stretch>
                  </pic:blipFill>
                  <pic:spPr>
                    <a:xfrm>
                      <a:off x="0" y="0"/>
                      <a:ext cx="4915586" cy="1171739"/>
                    </a:xfrm>
                    <a:prstGeom prst="rect">
                      <a:avLst/>
                    </a:prstGeom>
                  </pic:spPr>
                </pic:pic>
              </a:graphicData>
            </a:graphic>
          </wp:inline>
        </w:drawing>
      </w:r>
    </w:p>
    <w:p w14:paraId="3B77BBEE">
      <w:pPr>
        <w:ind w:firstLine="420" w:firstLineChars="200"/>
      </w:pPr>
      <w:r>
        <w:rPr>
          <w:rFonts w:hint="eastAsia"/>
        </w:rPr>
        <w:t>每个子数据集包含 26 列数据，其中 21 列为传感器时间序列数据。为了提高实验效率，仅选择了 14 个有效传感器的数据进行研究，其编号为 2、3、4、7、8、9、11、12、13、14、15、17、20 和 21。在预处理阶段，所有数据均采用最小-最大归一化方法 [9]，将数据范围调整到 [0, 1]。以 FD001 为例，其一个测试样本在时间窗口长度为 40 的情况下，包含了 14 个传感器的数据，如图 6 所示。</w:t>
      </w:r>
    </w:p>
    <w:p w14:paraId="4EDF0462">
      <w:pPr>
        <w:ind w:firstLine="420" w:firstLineChars="200"/>
      </w:pPr>
      <w:r>
        <w:drawing>
          <wp:inline distT="0" distB="0" distL="0" distR="0">
            <wp:extent cx="4982210" cy="2590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8"/>
                    <a:stretch>
                      <a:fillRect/>
                    </a:stretch>
                  </pic:blipFill>
                  <pic:spPr>
                    <a:xfrm>
                      <a:off x="0" y="0"/>
                      <a:ext cx="4982270" cy="2591162"/>
                    </a:xfrm>
                    <a:prstGeom prst="rect">
                      <a:avLst/>
                    </a:prstGeom>
                  </pic:spPr>
                </pic:pic>
              </a:graphicData>
            </a:graphic>
          </wp:inline>
        </w:drawing>
      </w:r>
    </w:p>
    <w:p w14:paraId="097BCDBD">
      <w:pPr>
        <w:ind w:firstLine="420" w:firstLineChars="200"/>
        <w:jc w:val="center"/>
        <w:rPr>
          <w:rFonts w:hint="eastAsia"/>
        </w:rPr>
      </w:pPr>
      <w:r>
        <w:rPr>
          <w:rFonts w:hint="eastAsia"/>
        </w:rPr>
        <w:t>图6 FD001中的一个测试样本，包含14个传感器的数据，时间窗口长度为40。</w:t>
      </w:r>
    </w:p>
    <w:p w14:paraId="7B717FA9">
      <w:pPr>
        <w:ind w:firstLine="420" w:firstLineChars="200"/>
        <w:rPr>
          <w:rFonts w:hint="eastAsia"/>
        </w:rPr>
      </w:pPr>
      <w:r>
        <w:rPr>
          <w:rFonts w:hint="eastAsia"/>
        </w:rPr>
        <w:t>在实际场景中，如果发动机是首次使用且剩余寿命保持恒定，则无需考虑性能退化问题。然而，当某个时刻发生故障后，发动机性能将逐步下降，直至完全失效。Heimes [31] 曾将 RUL 从性能退化开始前限制在 120–130 的范围内，并在故障发生时启动线性退化模式。在本文中，这一数值被设置为 125。</w:t>
      </w:r>
    </w:p>
    <w:p w14:paraId="2C6BACE7">
      <w:pPr>
        <w:rPr>
          <w:b/>
          <w:bCs/>
          <w:sz w:val="22"/>
          <w:szCs w:val="28"/>
        </w:rPr>
      </w:pPr>
      <w:r>
        <w:rPr>
          <w:rFonts w:hint="eastAsia"/>
          <w:b/>
          <w:bCs/>
          <w:sz w:val="22"/>
          <w:szCs w:val="28"/>
        </w:rPr>
        <w:t>B. 评价标准</w:t>
      </w:r>
    </w:p>
    <w:p w14:paraId="324F02B4">
      <w:pPr>
        <w:ind w:firstLine="420" w:firstLineChars="200"/>
      </w:pPr>
      <w:r>
        <w:rPr>
          <w:rFonts w:hint="eastAsia"/>
        </w:rPr>
        <w:t>在剩余使用寿命（RUL）预测性能的评估中，常用的两个指标是：实际 RUL 与预测值之间的均方根误差（RMSE），以及 [32] 提出的评分函数。假设测试样本数量为 </w:t>
      </w:r>
      <w:r>
        <w:t>N</w:t>
      </w:r>
      <w:r>
        <w:rPr>
          <w:rFonts w:hint="eastAsia"/>
        </w:rPr>
        <w:t>，第 </w:t>
      </w:r>
      <w:r>
        <w:t>n</w:t>
      </w:r>
      <w:r>
        <w:rPr>
          <w:rFonts w:hint="eastAsia"/>
        </w:rPr>
        <w:t> 个样本的真实RUL为</w:t>
      </w:r>
      <w:r>
        <w:rPr>
          <w:position w:val="-12"/>
        </w:rPr>
        <w:object>
          <v:shape id="_x0000_i1091" o:spt="75" type="#_x0000_t75" style="height:18.25pt;width:15.9pt;" o:ole="t" filled="f" o:preferrelative="t" stroked="f" coordsize="21600,21600">
            <v:path/>
            <v:fill on="f" focussize="0,0"/>
            <v:stroke on="f" joinstyle="miter"/>
            <v:imagedata r:id="rId140" o:title=""/>
            <o:lock v:ext="edit" aspectratio="t"/>
            <w10:wrap type="none"/>
            <w10:anchorlock/>
          </v:shape>
          <o:OLEObject Type="Embed" ProgID="Equation.DSMT4" ShapeID="_x0000_i1091" DrawAspect="Content" ObjectID="_1468075791" r:id="rId139">
            <o:LockedField>false</o:LockedField>
          </o:OLEObject>
        </w:object>
      </w:r>
      <w:r>
        <w:t>​</w:t>
      </w:r>
      <w:r>
        <w:rPr>
          <w:rFonts w:hint="eastAsia"/>
        </w:rPr>
        <w:t>，预测 RUL 为</w:t>
      </w:r>
      <w:r>
        <w:rPr>
          <w:position w:val="-12"/>
        </w:rPr>
        <w:object>
          <v:shape id="_x0000_i1092" o:spt="75" type="#_x0000_t75" style="height:18.25pt;width:15.9pt;" o:ole="t" filled="f" o:preferrelative="t" stroked="f" coordsize="21600,21600">
            <v:path/>
            <v:fill on="f" focussize="0,0"/>
            <v:stroke on="f" joinstyle="miter"/>
            <v:imagedata r:id="rId142" o:title=""/>
            <o:lock v:ext="edit" aspectratio="t"/>
            <w10:wrap type="none"/>
            <w10:anchorlock/>
          </v:shape>
          <o:OLEObject Type="Embed" ProgID="Equation.DSMT4" ShapeID="_x0000_i1092" DrawAspect="Content" ObjectID="_1468075792" r:id="rId141">
            <o:LockedField>false</o:LockedField>
          </o:OLEObject>
        </w:object>
      </w:r>
      <w:r>
        <w:rPr>
          <w:position w:val="-10"/>
        </w:rPr>
        <w:object>
          <v:shape id="_x0000_i1093" o:spt="75" type="#_x0000_t75" style="height:15.9pt;width:70.15pt;" o:ole="t" filled="f" o:preferrelative="t" stroked="f" coordsize="21600,21600">
            <v:path/>
            <v:fill on="f" focussize="0,0"/>
            <v:stroke on="f" joinstyle="miter"/>
            <v:imagedata r:id="rId144" o:title=""/>
            <o:lock v:ext="edit" aspectratio="t"/>
            <w10:wrap type="none"/>
            <w10:anchorlock/>
          </v:shape>
          <o:OLEObject Type="Embed" ProgID="Equation.DSMT4" ShapeID="_x0000_i1093" DrawAspect="Content" ObjectID="_1468075793" r:id="rId143">
            <o:LockedField>false</o:LockedField>
          </o:OLEObject>
        </w:object>
      </w:r>
      <w:r>
        <w:rPr>
          <w:rFonts w:hint="eastAsia"/>
        </w:rPr>
        <w:t>。RMSE 的计算公式如下：</w:t>
      </w:r>
    </w:p>
    <w:p w14:paraId="06E10EB1">
      <w:pPr>
        <w:ind w:firstLine="420" w:firstLineChars="200"/>
        <w:jc w:val="center"/>
      </w:pPr>
      <w:r>
        <w:rPr>
          <w:position w:val="-26"/>
        </w:rPr>
        <w:object>
          <v:shape id="_x0000_i1094" o:spt="75" type="#_x0000_t75" style="height:35.05pt;width:135.1pt;" o:ole="t" filled="f" o:preferrelative="t" stroked="f" coordsize="21600,21600">
            <v:path/>
            <v:fill on="f" focussize="0,0"/>
            <v:stroke on="f" joinstyle="miter"/>
            <v:imagedata r:id="rId146" o:title=""/>
            <o:lock v:ext="edit" aspectratio="t"/>
            <w10:wrap type="none"/>
            <w10:anchorlock/>
          </v:shape>
          <o:OLEObject Type="Embed" ProgID="Equation.DSMT4" ShapeID="_x0000_i1094" DrawAspect="Content" ObjectID="_1468075794" r:id="rId145">
            <o:LockedField>false</o:LockedField>
          </o:OLEObject>
        </w:object>
      </w:r>
    </w:p>
    <w:p w14:paraId="6C384FA5">
      <w:pPr>
        <w:ind w:firstLine="420" w:firstLineChars="200"/>
      </w:pPr>
      <w:r>
        <w:rPr>
          <w:rFonts w:hint="eastAsia"/>
        </w:rPr>
        <w:t>得分函数定义为</w:t>
      </w:r>
    </w:p>
    <w:p w14:paraId="7B44FEFA">
      <w:pPr>
        <w:pStyle w:val="6"/>
        <w:rPr>
          <w:rFonts w:hint="eastAsia"/>
        </w:rPr>
      </w:pPr>
      <w:r>
        <w:tab/>
      </w:r>
      <w:r>
        <w:rPr>
          <w:position w:val="-64"/>
        </w:rPr>
        <w:object>
          <v:shape id="_x0000_i1095" o:spt="75" type="#_x0000_t75" style="height:70.15pt;width:258.1pt;" o:ole="t" filled="f" o:preferrelative="t" stroked="f" coordsize="21600,21600">
            <v:path/>
            <v:fill on="f" focussize="0,0"/>
            <v:stroke on="f" joinstyle="miter"/>
            <v:imagedata r:id="rId148" o:title=""/>
            <o:lock v:ext="edit" aspectratio="t"/>
            <w10:wrap type="none"/>
            <w10:anchorlock/>
          </v:shape>
          <o:OLEObject Type="Embed" ProgID="Equation.DSMT4" ShapeID="_x0000_i1095" DrawAspect="Content" ObjectID="_1468075795" r:id="rId147">
            <o:LockedField>false</o:LockedField>
          </o:OLEObject>
        </w:object>
      </w:r>
    </w:p>
    <w:p w14:paraId="0EB87933">
      <w:pPr>
        <w:ind w:firstLine="420" w:firstLineChars="200"/>
      </w:pPr>
      <w:r>
        <w:rPr>
          <w:rFonts w:hint="eastAsia"/>
        </w:rPr>
        <w:t>较小的 RMSE 和 Score 值表示模型性能更优，而较大的值则意味着表现较差。从公式 (14) 可以看出，Score 对于预测值低于实际 RUL 的情况会进行更严厉的惩罚。这是因为在发动机 RUL 估算中，预测滞后可能会引发更严重的后果。</w:t>
      </w:r>
    </w:p>
    <w:p w14:paraId="2D5689C7">
      <w:pPr>
        <w:rPr>
          <w:b/>
          <w:bCs/>
          <w:sz w:val="22"/>
          <w:szCs w:val="28"/>
        </w:rPr>
      </w:pPr>
      <w:r>
        <w:rPr>
          <w:rFonts w:hint="eastAsia"/>
          <w:b/>
          <w:bCs/>
          <w:sz w:val="22"/>
          <w:szCs w:val="28"/>
        </w:rPr>
        <w:t>C. 结果和分析</w:t>
      </w:r>
    </w:p>
    <w:p w14:paraId="342EF94C">
      <w:pPr>
        <w:ind w:firstLine="420" w:firstLineChars="200"/>
      </w:pPr>
      <w:r>
        <w:rPr>
          <w:rFonts w:hint="eastAsia"/>
        </w:rPr>
        <w:t>实验分析了影响 RUL 预测性能的一些关键因素，包括时间窗口大小、注意力机制模块的设计以及特征对模型的作用。此外，还将提出的方法与当前最先进的模型进行了对比。</w:t>
      </w:r>
    </w:p>
    <w:p w14:paraId="1671468B">
      <w:r>
        <w:rPr>
          <w:rFonts w:hint="eastAsia"/>
          <w:b/>
          <w:bCs/>
        </w:rPr>
        <w:t>1.时间窗口大小对 DA-TCN 的影响</w:t>
      </w:r>
      <w:r>
        <w:rPr>
          <w:rFonts w:hint="eastAsia"/>
        </w:rPr>
        <w:t>：</w:t>
      </w:r>
    </w:p>
    <w:p w14:paraId="091E9C93">
      <w:pPr>
        <w:ind w:firstLine="420" w:firstLineChars="200"/>
      </w:pPr>
      <w:r>
        <w:rPr>
          <w:rFonts w:hint="eastAsia"/>
        </w:rPr>
        <w:t>由于多变量时间序列数据涉及不同的发动机寿命阶段，因此在训练预测模型前，必须为 C-MAPSS 数据集选择一个合适的时间窗口大小（</w:t>
      </w:r>
      <w:r>
        <w:rPr>
          <w:position w:val="-12"/>
        </w:rPr>
        <w:object>
          <v:shape id="_x0000_i1096" o:spt="75" type="#_x0000_t75" style="height:18.25pt;width:14.05pt;" o:ole="t" filled="f" o:preferrelative="t" stroked="f" coordsize="21600,21600">
            <v:path/>
            <v:fill on="f" focussize="0,0"/>
            <v:stroke on="f" joinstyle="miter"/>
            <v:imagedata r:id="rId150" o:title=""/>
            <o:lock v:ext="edit" aspectratio="t"/>
            <w10:wrap type="none"/>
            <w10:anchorlock/>
          </v:shape>
          <o:OLEObject Type="Embed" ProgID="Equation.DSMT4" ShapeID="_x0000_i1096" DrawAspect="Content" ObjectID="_1468075796" r:id="rId149">
            <o:LockedField>false</o:LockedField>
          </o:OLEObject>
        </w:object>
      </w:r>
      <w:r>
        <w:rPr>
          <w:rFonts w:hint="eastAsia"/>
        </w:rPr>
        <w:t>）。合适的时间窗口可以显著提升模型的预测效果。因此，第一组实验主要分析了时间窗口大小对预测性能的影响。</w:t>
      </w:r>
    </w:p>
    <w:p w14:paraId="334DACF7">
      <w:pPr>
        <w:ind w:firstLine="420" w:firstLineChars="200"/>
        <w:jc w:val="center"/>
      </w:pPr>
      <w:r>
        <w:drawing>
          <wp:inline distT="0" distB="0" distL="0" distR="0">
            <wp:extent cx="3206115" cy="379349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1"/>
                    <a:stretch>
                      <a:fillRect/>
                    </a:stretch>
                  </pic:blipFill>
                  <pic:spPr>
                    <a:xfrm>
                      <a:off x="0" y="0"/>
                      <a:ext cx="3209946" cy="3798082"/>
                    </a:xfrm>
                    <a:prstGeom prst="rect">
                      <a:avLst/>
                    </a:prstGeom>
                  </pic:spPr>
                </pic:pic>
              </a:graphicData>
            </a:graphic>
          </wp:inline>
        </w:drawing>
      </w:r>
    </w:p>
    <w:p w14:paraId="60B4D767">
      <w:pPr>
        <w:ind w:firstLine="420" w:firstLineChars="200"/>
        <w:jc w:val="center"/>
        <w:rPr>
          <w:rFonts w:hint="eastAsia"/>
        </w:rPr>
      </w:pPr>
      <w:r>
        <w:rPr>
          <w:rFonts w:hint="eastAsia"/>
        </w:rPr>
        <w:t>图7 在C-MAPSS中，当Tw等于20、30、40、50和60时，四个子数据集的RMSE和得分。</w:t>
      </w:r>
    </w:p>
    <w:p w14:paraId="76695D36">
      <w:pPr>
        <w:ind w:firstLine="420" w:firstLineChars="200"/>
        <w:rPr>
          <w:rFonts w:hint="eastAsia"/>
        </w:rPr>
      </w:pPr>
      <w:r>
        <w:rPr>
          <w:rFonts w:hint="eastAsia"/>
        </w:rPr>
        <w:t>图 7 展示了DA-TCN在C-MAPSS 四个子数据集上的实验结果。当</w:t>
      </w:r>
      <w:r>
        <w:rPr>
          <w:position w:val="-12"/>
        </w:rPr>
        <w:object>
          <v:shape id="_x0000_i1097" o:spt="75" type="#_x0000_t75" style="height:18.25pt;width:14.05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52">
            <o:LockedField>false</o:LockedField>
          </o:OLEObject>
        </w:object>
      </w:r>
      <w:r>
        <w:rPr>
          <w:rFonts w:hint="eastAsia"/>
        </w:rPr>
        <w:t>分别设置为 40、50、50 和 50 时，FD001、FD002、FD003 和 FD004 的 RMSE 值最低，表现最优。因此，后续实验均基于这些参数进行模型训练和评估。</w:t>
      </w:r>
    </w:p>
    <w:p w14:paraId="038FAC19">
      <w:r>
        <w:rPr>
          <w:rFonts w:hint="eastAsia"/>
          <w:b/>
          <w:bCs/>
        </w:rPr>
        <w:t>2.注意力机制模块设计对性能的影响</w:t>
      </w:r>
      <w:r>
        <w:rPr>
          <w:rFonts w:hint="eastAsia"/>
        </w:rPr>
        <w:t>：</w:t>
      </w:r>
    </w:p>
    <w:p w14:paraId="4329C818">
      <w:pPr>
        <w:ind w:firstLine="420" w:firstLineChars="200"/>
      </w:pPr>
      <w:r>
        <w:rPr>
          <w:rFonts w:hint="eastAsia"/>
        </w:rPr>
        <w:t>DA-TCN 中集成了两个注意力机制模块。为研究其影响，实验设计了七种测试方案：1）仅使用 TCN；2）仅使用分布式注意力机制，不结合 TCN；3）一个注意力模块后接 TCN；4）一个注意力模块前接 TCN；5）两个注意力模块后接 TCN；6）两个注意力模块前接 TCN；7）完整的 DA-TCN。实验结果如表</w:t>
      </w:r>
      <w:r>
        <w:rPr>
          <w:rFonts w:hint="eastAsia"/>
          <w:lang w:val="en-US" w:eastAsia="zh-CN"/>
        </w:rPr>
        <w:t>3</w:t>
      </w:r>
      <w:bookmarkStart w:id="1" w:name="_GoBack"/>
      <w:bookmarkEnd w:id="1"/>
      <w:r>
        <w:rPr>
          <w:rFonts w:hint="eastAsia"/>
        </w:rPr>
        <w:t>所示。从结果看，DA-TCN 的表现显著优于其他方法，验证了分布式注意力机制设计的优越性。因此，DA-TCN 被选定为最佳模型。</w:t>
      </w:r>
    </w:p>
    <w:p w14:paraId="5D9EA8D8">
      <w:pPr>
        <w:ind w:firstLine="420" w:firstLineChars="200"/>
        <w:jc w:val="center"/>
        <w:rPr>
          <w:rFonts w:hint="eastAsia"/>
        </w:rPr>
      </w:pPr>
      <w:r>
        <w:rPr>
          <w:rFonts w:hint="eastAsia"/>
        </w:rPr>
        <w:t xml:space="preserve">表3 </w:t>
      </w:r>
      <w:r>
        <w:rPr>
          <w:rFonts w:hint="eastAsia"/>
          <w:b/>
          <w:bCs/>
        </w:rPr>
        <w:t>DA-TCN、TCN 以及注意力机制分别在 TCN 前后结合的性能对比</w:t>
      </w:r>
    </w:p>
    <w:p w14:paraId="19306FD7">
      <w:pPr>
        <w:ind w:firstLine="420" w:firstLineChars="200"/>
        <w:jc w:val="center"/>
        <w:rPr>
          <w:rFonts w:hint="eastAsia"/>
        </w:rPr>
      </w:pPr>
      <w:r>
        <w:drawing>
          <wp:inline distT="0" distB="0" distL="0" distR="0">
            <wp:extent cx="3943350" cy="29051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3"/>
                    <a:stretch>
                      <a:fillRect/>
                    </a:stretch>
                  </pic:blipFill>
                  <pic:spPr>
                    <a:xfrm>
                      <a:off x="0" y="0"/>
                      <a:ext cx="3943900" cy="2905530"/>
                    </a:xfrm>
                    <a:prstGeom prst="rect">
                      <a:avLst/>
                    </a:prstGeom>
                  </pic:spPr>
                </pic:pic>
              </a:graphicData>
            </a:graphic>
          </wp:inline>
        </w:drawing>
      </w:r>
    </w:p>
    <w:p w14:paraId="3AE7C753">
      <w:r>
        <w:rPr>
          <w:rFonts w:hint="eastAsia"/>
          <w:b/>
          <w:bCs/>
        </w:rPr>
        <w:t>3.特征对性能的影响</w:t>
      </w:r>
      <w:r>
        <w:rPr>
          <w:rFonts w:hint="eastAsia"/>
        </w:rPr>
        <w:t>：</w:t>
      </w:r>
    </w:p>
    <w:p w14:paraId="34EE14B7">
      <w:pPr>
        <w:ind w:firstLine="420" w:firstLineChars="200"/>
      </w:pPr>
      <w:r>
        <w:rPr>
          <w:rFonts w:hint="eastAsia"/>
        </w:rPr>
        <w:t>在数据预处理阶段，从时间序列数据中提取了两个特征：均值和回归系数估计值。为了验证这两个特征的实际效果，实验对比了使用和不使用这两个特征的 DA-TCN 在 RUL 预测中的表现。表4显示了 RMSE 和 Score 值。结果表明，结合序列数据与这两个特征的 DA-TCN 明显优于其他方法，这进一步证明了这两个特征对于提升预测性能的重要作用。</w:t>
      </w:r>
    </w:p>
    <w:p w14:paraId="0B9FC21B">
      <w:pPr>
        <w:ind w:firstLine="420" w:firstLineChars="200"/>
        <w:jc w:val="center"/>
        <w:rPr>
          <w:rFonts w:hint="eastAsia"/>
        </w:rPr>
      </w:pPr>
      <w:r>
        <w:rPr>
          <w:rFonts w:hint="eastAsia"/>
        </w:rPr>
        <w:t>表4 不同特征使用时DA-TCN的规则预测结果*</w:t>
      </w:r>
    </w:p>
    <w:p w14:paraId="535D4F47">
      <w:pPr>
        <w:ind w:firstLine="420" w:firstLineChars="200"/>
        <w:jc w:val="center"/>
        <w:rPr>
          <w:rFonts w:hint="eastAsia"/>
        </w:rPr>
      </w:pPr>
      <w:r>
        <w:drawing>
          <wp:inline distT="0" distB="0" distL="0" distR="0">
            <wp:extent cx="5274310" cy="1254125"/>
            <wp:effectExtent l="0" t="0" r="254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4"/>
                    <a:stretch>
                      <a:fillRect/>
                    </a:stretch>
                  </pic:blipFill>
                  <pic:spPr>
                    <a:xfrm>
                      <a:off x="0" y="0"/>
                      <a:ext cx="5274310" cy="1254125"/>
                    </a:xfrm>
                    <a:prstGeom prst="rect">
                      <a:avLst/>
                    </a:prstGeom>
                  </pic:spPr>
                </pic:pic>
              </a:graphicData>
            </a:graphic>
          </wp:inline>
        </w:drawing>
      </w:r>
    </w:p>
    <w:p w14:paraId="7EEEE547">
      <w:r>
        <w:rPr>
          <w:rFonts w:hint="eastAsia"/>
        </w:rPr>
        <w:t>4.</w:t>
      </w:r>
      <w:r>
        <w:rPr>
          <w:rFonts w:hint="eastAsia"/>
          <w:b/>
          <w:bCs/>
        </w:rPr>
        <w:t>方法性能对比</w:t>
      </w:r>
      <w:r>
        <w:rPr>
          <w:rFonts w:hint="eastAsia"/>
        </w:rPr>
        <w:t>：</w:t>
      </w:r>
    </w:p>
    <w:p w14:paraId="62983CD6">
      <w:pPr>
        <w:ind w:firstLine="420" w:firstLineChars="200"/>
      </w:pPr>
      <w:r>
        <w:rPr>
          <w:rFonts w:hint="eastAsia"/>
        </w:rPr>
        <w:t>实验将 DA-TCN 与多种方法进行对比，包括 DCNN [9]、LSTM [9]、BiLSTM [16]、有向无环图（DAG）[33]、Ellefsen 等人提出的方法 [34]，以及基于分布式注意力机制的改进版 CNN（DACNN）。结果如表</w:t>
      </w:r>
      <w:r>
        <w:rPr>
          <w:rFonts w:hint="eastAsia"/>
          <w:lang w:val="en-US" w:eastAsia="zh-CN"/>
        </w:rPr>
        <w:t>5</w:t>
      </w:r>
      <w:r>
        <w:rPr>
          <w:rFonts w:hint="eastAsia"/>
        </w:rPr>
        <w:t>所示。DACNN 是对 CNN 进行优化后得到的方法，其网络结构与 TCN 相似，但没有采用因果卷积。为降低预测性能的随机性，实验对所有方法均重复测试 10 次，并以 RMSE 和 Score 的均值及标准差作为评估结果。从表</w:t>
      </w:r>
      <w:r>
        <w:rPr>
          <w:rFonts w:hint="eastAsia"/>
          <w:lang w:val="en-US" w:eastAsia="zh-CN"/>
        </w:rPr>
        <w:t>5</w:t>
      </w:r>
      <w:r>
        <w:rPr>
          <w:rFonts w:hint="eastAsia"/>
        </w:rPr>
        <w:t>可以看出，DA-TCN 的 RMSE 和 Score 值均优于其他方法，说明其对发动机剩余使用寿命的预测更加准确。</w:t>
      </w:r>
    </w:p>
    <w:p w14:paraId="7D3D73B6">
      <w:r>
        <w:rPr>
          <w:rFonts w:hint="eastAsia"/>
          <w:b/>
          <w:bCs/>
        </w:rPr>
        <w:t>5.结果分析</w:t>
      </w:r>
      <w:r>
        <w:rPr>
          <w:rFonts w:hint="eastAsia"/>
        </w:rPr>
        <w:t>：</w:t>
      </w:r>
    </w:p>
    <w:p w14:paraId="4023C93C">
      <w:pPr>
        <w:jc w:val="center"/>
      </w:pPr>
      <w:r>
        <w:drawing>
          <wp:inline distT="0" distB="0" distL="0" distR="0">
            <wp:extent cx="3999865" cy="5034915"/>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5"/>
                    <a:stretch>
                      <a:fillRect/>
                    </a:stretch>
                  </pic:blipFill>
                  <pic:spPr>
                    <a:xfrm>
                      <a:off x="0" y="0"/>
                      <a:ext cx="4002401" cy="5037937"/>
                    </a:xfrm>
                    <a:prstGeom prst="rect">
                      <a:avLst/>
                    </a:prstGeom>
                  </pic:spPr>
                </pic:pic>
              </a:graphicData>
            </a:graphic>
          </wp:inline>
        </w:drawing>
      </w:r>
    </w:p>
    <w:p w14:paraId="14A05C7B">
      <w:pPr>
        <w:jc w:val="center"/>
        <w:rPr>
          <w:rFonts w:hint="eastAsia"/>
        </w:rPr>
      </w:pPr>
      <w:r>
        <w:rPr>
          <w:rFonts w:hint="eastAsia"/>
        </w:rPr>
        <w:t>图8 FD001（第一行）、FD002（第二行）、FD003（第三行）和FD004（第四行）测试发动机单元上的RUL预测结果。</w:t>
      </w:r>
    </w:p>
    <w:p w14:paraId="0562CEF6">
      <w:pPr>
        <w:ind w:firstLine="420" w:firstLineChars="200"/>
      </w:pPr>
      <w:r>
        <w:rPr>
          <w:rFonts w:hint="eastAsia"/>
        </w:rPr>
        <w:t>图 8 展示了 DA-TCN 的预测结果与实际 RUL 的对比。尽管预测结果与实际值的变化趋势相似，但 DA-TCN 的退化曲线波动较大，尤其在 FD002 和 FD004 数据集中，导致更高的预测误差。结合表5和图8，可以发现 FD002 和 FD004 的误差明显高于 FD001 和 FD003。这是因为 FD002 和 FD004 包含了多故障类型和多运行模式，增加了预测的复杂性。</w:t>
      </w:r>
    </w:p>
    <w:p w14:paraId="5703D6D0">
      <w:pPr>
        <w:ind w:firstLine="420" w:firstLineChars="200"/>
        <w:jc w:val="center"/>
        <w:rPr>
          <w:rFonts w:hint="eastAsia"/>
        </w:rPr>
      </w:pPr>
      <w:r>
        <w:rPr>
          <w:rFonts w:hint="eastAsia"/>
        </w:rPr>
        <w:t xml:space="preserve">表5 </w:t>
      </w:r>
      <w:r>
        <w:t>DCNN [9]</w:t>
      </w:r>
      <w:r>
        <w:rPr>
          <w:rFonts w:hint="eastAsia"/>
        </w:rPr>
        <w:t>、</w:t>
      </w:r>
      <w:r>
        <w:t>LSTM [9]</w:t>
      </w:r>
      <w:r>
        <w:rPr>
          <w:rFonts w:hint="eastAsia"/>
        </w:rPr>
        <w:t>、</w:t>
      </w:r>
      <w:r>
        <w:t>BILSTM [16]</w:t>
      </w:r>
      <w:r>
        <w:rPr>
          <w:rFonts w:hint="eastAsia"/>
        </w:rPr>
        <w:t>、</w:t>
      </w:r>
      <w:r>
        <w:t>D [33]</w:t>
      </w:r>
      <w:r>
        <w:rPr>
          <w:rFonts w:hint="eastAsia"/>
        </w:rPr>
        <w:t>、</w:t>
      </w:r>
      <w:r>
        <w:t xml:space="preserve">ELLEFSEN </w:t>
      </w:r>
      <w:r>
        <w:rPr>
          <w:rFonts w:hint="eastAsia"/>
        </w:rPr>
        <w:t>等人提出的方法</w:t>
      </w:r>
      <w:r>
        <w:t xml:space="preserve"> [34]</w:t>
      </w:r>
      <w:r>
        <w:rPr>
          <w:rFonts w:hint="eastAsia"/>
        </w:rPr>
        <w:t>、</w:t>
      </w:r>
      <w:r>
        <w:t xml:space="preserve">DA-CNN </w:t>
      </w:r>
      <w:r>
        <w:rPr>
          <w:rFonts w:hint="eastAsia"/>
        </w:rPr>
        <w:t>和所提出的方法的性能比较</w:t>
      </w:r>
      <w:r>
        <w:rPr>
          <w:rFonts w:hint="eastAsia" w:ascii="MS Gothic" w:hAnsi="MS Gothic" w:eastAsia="MS Gothic" w:cs="MS Gothic"/>
        </w:rPr>
        <w:t>∗</w:t>
      </w:r>
    </w:p>
    <w:p w14:paraId="20724338">
      <w:pPr>
        <w:ind w:firstLine="420" w:firstLineChars="200"/>
        <w:jc w:val="center"/>
        <w:rPr>
          <w:rFonts w:hint="eastAsia"/>
        </w:rPr>
      </w:pPr>
      <w:r>
        <w:drawing>
          <wp:inline distT="0" distB="0" distL="0" distR="0">
            <wp:extent cx="5274310" cy="1120775"/>
            <wp:effectExtent l="0" t="0" r="254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6"/>
                    <a:stretch>
                      <a:fillRect/>
                    </a:stretch>
                  </pic:blipFill>
                  <pic:spPr>
                    <a:xfrm>
                      <a:off x="0" y="0"/>
                      <a:ext cx="5274310" cy="1120775"/>
                    </a:xfrm>
                    <a:prstGeom prst="rect">
                      <a:avLst/>
                    </a:prstGeom>
                  </pic:spPr>
                </pic:pic>
              </a:graphicData>
            </a:graphic>
          </wp:inline>
        </w:drawing>
      </w:r>
    </w:p>
    <w:p w14:paraId="3AAA7874">
      <w:pPr>
        <w:ind w:firstLine="420" w:firstLineChars="200"/>
        <w:rPr>
          <w:rFonts w:hint="eastAsia"/>
        </w:rPr>
      </w:pPr>
      <w:r>
        <w:rPr>
          <w:rFonts w:hint="eastAsia"/>
        </w:rPr>
        <w:t>图 9(a) 展示了 FD001 测试数据集中一个序列样本的映射结果，其中 x 轴代表传感器编号，y 轴代表时间步，图中每列对应一个传感器的序列数据。图 9(b) 显示了注意力机制对不同传感器加权后的结果。与图 9(a) 相比，图 9(b) 中传感器 4、13 和 14 的颜色变化较大，表明这些传感器的重要性较高。图 9(c) 是 TCN 接收图 9(b) 作为输入后的输出结果，图 9(d) 则展示了注意力机制对不同时间步的加权结果。图 9(c) 和 9(d) 差异明显，因为图 9(c) 的每行数据已被第二个注意力机制计算的重要性权重加权。通过分布式注意力机制，模型能够更有效地衡量不同传感器和时间步的重要性，从而进一步提升 RUL 预测性能。</w:t>
      </w:r>
    </w:p>
    <w:p w14:paraId="38DBBFC0">
      <w:pPr>
        <w:ind w:firstLine="420" w:firstLineChars="200"/>
      </w:pPr>
      <w:r>
        <w:rPr>
          <w:rFonts w:hint="eastAsia"/>
        </w:rPr>
        <w:t>此外，为了评估模型的时间开销，实验选取了 100 个测试样本进行性能测试。结果显示，在 CPU 上，每个样本平均仅需 2.4 毫秒的预测时间。这表明，该方法有望满足实际应用中的实时预测需求。</w:t>
      </w:r>
    </w:p>
    <w:p w14:paraId="31C56E55">
      <w:pPr>
        <w:ind w:firstLine="420" w:firstLineChars="200"/>
        <w:jc w:val="center"/>
      </w:pPr>
      <w:r>
        <w:drawing>
          <wp:inline distT="0" distB="0" distL="0" distR="0">
            <wp:extent cx="4934585" cy="31527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57"/>
                    <a:stretch>
                      <a:fillRect/>
                    </a:stretch>
                  </pic:blipFill>
                  <pic:spPr>
                    <a:xfrm>
                      <a:off x="0" y="0"/>
                      <a:ext cx="4934639" cy="3153215"/>
                    </a:xfrm>
                    <a:prstGeom prst="rect">
                      <a:avLst/>
                    </a:prstGeom>
                  </pic:spPr>
                </pic:pic>
              </a:graphicData>
            </a:graphic>
          </wp:inline>
        </w:drawing>
      </w:r>
    </w:p>
    <w:p w14:paraId="1DACF9B2">
      <w:pPr>
        <w:ind w:firstLine="420" w:firstLineChars="200"/>
        <w:jc w:val="center"/>
        <w:rPr>
          <w:rFonts w:hint="eastAsia"/>
        </w:rPr>
      </w:pPr>
      <w:r>
        <w:rPr>
          <w:rFonts w:hint="eastAsia"/>
        </w:rPr>
        <w:t>图9 (a) FD001中的一个序列数据样本。(b) （a）的第一个注意力机制的输出。(c) TCN的输出。(d) 第二个注意力机制的输出。</w:t>
      </w:r>
    </w:p>
    <w:p w14:paraId="0FFEAEF9">
      <w:pPr>
        <w:jc w:val="center"/>
        <w:rPr>
          <w:rFonts w:hint="eastAsia"/>
          <w:b/>
          <w:bCs/>
          <w:sz w:val="24"/>
          <w:szCs w:val="32"/>
        </w:rPr>
      </w:pPr>
      <w:r>
        <w:rPr>
          <w:rFonts w:hint="eastAsia"/>
          <w:b/>
          <w:bCs/>
          <w:sz w:val="24"/>
          <w:szCs w:val="32"/>
        </w:rPr>
        <w:t>5.总结</w:t>
      </w:r>
    </w:p>
    <w:p w14:paraId="1A7F5890">
      <w:pPr>
        <w:ind w:firstLine="420" w:firstLineChars="200"/>
        <w:rPr>
          <w:rFonts w:hint="eastAsia"/>
        </w:rPr>
      </w:pPr>
      <w:r>
        <w:rPr>
          <w:rFonts w:hint="eastAsia"/>
        </w:rPr>
        <w:t>预测设备的剩余使用寿命（RUL）是掌握工业物联网（IIoT）中关键设备（如轴承和发动机）运行状态和退化趋势的重要手段。近年来，深度学习凭借其卓越的性能和处理工业大数据的高效性，成为 RUL 预测中的主流方法。在本文中，我们提出了一种结合注意力机制和 TCN 的改进型 RUL 预测方法。首先，我们设计了一种基于 softmax 函数的注意力机制，对传感器数据进行加权处理。接着，利用参数共享的 TCN 模型对所有传感器的序列数据进行处理。为了进一步评估时间步数据的影响，在 TCN 的输出层加入了另一种注意力机制。通过与 DCNN [9]、LSTM [9]、BiLSTM [16]、DAG [33]、Ellefsen 等人方法 [34] 以及 DA-CNN 的性能对比，实验结果表明，分布式注意力机制显著提升了模型表现，而 DA-TCN 的预测精度明显优于其他方法。</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F17759"/>
    <w:multiLevelType w:val="multilevel"/>
    <w:tmpl w:val="24F17759"/>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6B692BD"/>
    <w:multiLevelType w:val="singleLevel"/>
    <w:tmpl w:val="56B692BD"/>
    <w:lvl w:ilvl="0" w:tentative="0">
      <w:start w:val="2"/>
      <w:numFmt w:val="upperLetter"/>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805"/>
    <w:rsid w:val="00007493"/>
    <w:rsid w:val="002753F6"/>
    <w:rsid w:val="003F4539"/>
    <w:rsid w:val="004629DF"/>
    <w:rsid w:val="004E35F7"/>
    <w:rsid w:val="00536A9D"/>
    <w:rsid w:val="00631615"/>
    <w:rsid w:val="00634C0A"/>
    <w:rsid w:val="00665805"/>
    <w:rsid w:val="0068353B"/>
    <w:rsid w:val="006E27C6"/>
    <w:rsid w:val="007358EE"/>
    <w:rsid w:val="00780A6D"/>
    <w:rsid w:val="007A20F0"/>
    <w:rsid w:val="00816C80"/>
    <w:rsid w:val="00820CBA"/>
    <w:rsid w:val="008906C7"/>
    <w:rsid w:val="008B2B36"/>
    <w:rsid w:val="008D5168"/>
    <w:rsid w:val="008E6F2E"/>
    <w:rsid w:val="00917D8E"/>
    <w:rsid w:val="00954100"/>
    <w:rsid w:val="0097260B"/>
    <w:rsid w:val="009E4584"/>
    <w:rsid w:val="009F235B"/>
    <w:rsid w:val="00A362D7"/>
    <w:rsid w:val="00A40608"/>
    <w:rsid w:val="00A41DC5"/>
    <w:rsid w:val="00AB1834"/>
    <w:rsid w:val="00B54F35"/>
    <w:rsid w:val="00B83362"/>
    <w:rsid w:val="00BF09EF"/>
    <w:rsid w:val="00C242C2"/>
    <w:rsid w:val="00C928C2"/>
    <w:rsid w:val="00D303AA"/>
    <w:rsid w:val="00D3262C"/>
    <w:rsid w:val="00D4330D"/>
    <w:rsid w:val="00D737DE"/>
    <w:rsid w:val="00E46784"/>
    <w:rsid w:val="00F10DBA"/>
    <w:rsid w:val="00FB74DD"/>
    <w:rsid w:val="00FF4CAA"/>
    <w:rsid w:val="02CB5B35"/>
    <w:rsid w:val="04960E70"/>
    <w:rsid w:val="05D1111B"/>
    <w:rsid w:val="0785600D"/>
    <w:rsid w:val="098920FB"/>
    <w:rsid w:val="0B165247"/>
    <w:rsid w:val="0C3F7BF7"/>
    <w:rsid w:val="0D307F43"/>
    <w:rsid w:val="0E7D3C6C"/>
    <w:rsid w:val="11B31DBB"/>
    <w:rsid w:val="12C30F2B"/>
    <w:rsid w:val="1597660A"/>
    <w:rsid w:val="15EF04FE"/>
    <w:rsid w:val="16EE28F7"/>
    <w:rsid w:val="19B97302"/>
    <w:rsid w:val="1ED860A1"/>
    <w:rsid w:val="21BC6F83"/>
    <w:rsid w:val="251B4DDA"/>
    <w:rsid w:val="27FC1C19"/>
    <w:rsid w:val="29093D0F"/>
    <w:rsid w:val="3103733A"/>
    <w:rsid w:val="39212029"/>
    <w:rsid w:val="3BF33BCB"/>
    <w:rsid w:val="3D912E47"/>
    <w:rsid w:val="3FF97DF7"/>
    <w:rsid w:val="4077625F"/>
    <w:rsid w:val="40907037"/>
    <w:rsid w:val="411B6C88"/>
    <w:rsid w:val="469472BD"/>
    <w:rsid w:val="4B2F68E7"/>
    <w:rsid w:val="4E0538DC"/>
    <w:rsid w:val="4ED85B87"/>
    <w:rsid w:val="59383B3C"/>
    <w:rsid w:val="5B476268"/>
    <w:rsid w:val="615F17FF"/>
    <w:rsid w:val="64DA5396"/>
    <w:rsid w:val="66FE6CC3"/>
    <w:rsid w:val="67A37331"/>
    <w:rsid w:val="67AB1790"/>
    <w:rsid w:val="69043B1B"/>
    <w:rsid w:val="6D107258"/>
    <w:rsid w:val="726A2940"/>
    <w:rsid w:val="726E2F4F"/>
    <w:rsid w:val="72BA1E81"/>
    <w:rsid w:val="75E64517"/>
    <w:rsid w:val="7D722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Body Text"/>
    <w:basedOn w:val="1"/>
    <w:link w:val="10"/>
    <w:uiPriority w:val="0"/>
    <w:pPr>
      <w:spacing w:after="120"/>
    </w:pPr>
  </w:style>
  <w:style w:type="paragraph" w:styleId="3">
    <w:name w:val="Normal (Web)"/>
    <w:basedOn w:val="1"/>
    <w:uiPriority w:val="0"/>
    <w:pPr>
      <w:spacing w:beforeAutospacing="1" w:afterAutospacing="1"/>
      <w:jc w:val="left"/>
    </w:pPr>
    <w:rPr>
      <w:rFonts w:cs="Times New Roman"/>
      <w:kern w:val="0"/>
      <w:sz w:val="24"/>
    </w:rPr>
  </w:style>
  <w:style w:type="paragraph" w:customStyle="1" w:styleId="6">
    <w:name w:val="MTDisplayEquation"/>
    <w:basedOn w:val="1"/>
    <w:next w:val="1"/>
    <w:link w:val="7"/>
    <w:uiPriority w:val="0"/>
    <w:pPr>
      <w:tabs>
        <w:tab w:val="center" w:pos="4160"/>
        <w:tab w:val="right" w:pos="8300"/>
      </w:tabs>
      <w:adjustRightInd w:val="0"/>
    </w:pPr>
  </w:style>
  <w:style w:type="character" w:customStyle="1" w:styleId="7">
    <w:name w:val="MTDisplayEquation 字符"/>
    <w:basedOn w:val="5"/>
    <w:link w:val="6"/>
    <w:qFormat/>
    <w:uiPriority w:val="0"/>
    <w:rPr>
      <w:rFonts w:asciiTheme="minorHAnsi" w:hAnsiTheme="minorHAnsi" w:eastAsiaTheme="minorEastAsia" w:cstheme="minorBidi"/>
      <w:kern w:val="2"/>
      <w:sz w:val="21"/>
      <w:szCs w:val="24"/>
    </w:rPr>
  </w:style>
  <w:style w:type="paragraph" w:styleId="8">
    <w:name w:val="List Paragraph"/>
    <w:basedOn w:val="1"/>
    <w:unhideWhenUsed/>
    <w:qFormat/>
    <w:uiPriority w:val="99"/>
    <w:pPr>
      <w:ind w:firstLine="420" w:firstLineChars="200"/>
    </w:pPr>
  </w:style>
  <w:style w:type="paragraph" w:customStyle="1" w:styleId="9">
    <w:name w:val="First Paragraph"/>
    <w:basedOn w:val="2"/>
    <w:next w:val="2"/>
    <w:qFormat/>
    <w:uiPriority w:val="0"/>
    <w:pPr>
      <w:widowControl/>
      <w:spacing w:before="180" w:after="180"/>
      <w:jc w:val="left"/>
    </w:pPr>
    <w:rPr>
      <w:kern w:val="0"/>
      <w:sz w:val="24"/>
      <w:lang w:eastAsia="en-US"/>
    </w:rPr>
  </w:style>
  <w:style w:type="character" w:customStyle="1" w:styleId="10">
    <w:name w:val="正文文本 字符"/>
    <w:basedOn w:val="5"/>
    <w:link w:val="2"/>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oleObject" Target="embeddings/oleObject3.bin"/><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image" Target="media/image3.wmf"/><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png"/><Relationship Id="rId73" Type="http://schemas.openxmlformats.org/officeDocument/2006/relationships/image" Target="media/image35.png"/><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oleObject" Target="embeddings/oleObject34.bin"/><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image" Target="media/image2.wmf"/><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image" Target="media/image1.png"/><Relationship Id="rId39" Type="http://schemas.openxmlformats.org/officeDocument/2006/relationships/oleObject" Target="embeddings/oleObject18.bin"/><Relationship Id="rId38" Type="http://schemas.openxmlformats.org/officeDocument/2006/relationships/image" Target="media/image18.png"/><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oleObject" Target="embeddings/oleObject7.bin"/><Relationship Id="rId160" Type="http://schemas.openxmlformats.org/officeDocument/2006/relationships/fontTable" Target="fontTable.xml"/><Relationship Id="rId16" Type="http://schemas.openxmlformats.org/officeDocument/2006/relationships/image" Target="media/image7.wmf"/><Relationship Id="rId159" Type="http://schemas.microsoft.com/office/2006/relationships/keyMapCustomizations" Target="customizations.xml"/><Relationship Id="rId158" Type="http://schemas.openxmlformats.org/officeDocument/2006/relationships/numbering" Target="numbering.xml"/><Relationship Id="rId157" Type="http://schemas.openxmlformats.org/officeDocument/2006/relationships/image" Target="media/image81.png"/><Relationship Id="rId156" Type="http://schemas.openxmlformats.org/officeDocument/2006/relationships/image" Target="media/image80.png"/><Relationship Id="rId155" Type="http://schemas.openxmlformats.org/officeDocument/2006/relationships/image" Target="media/image79.png"/><Relationship Id="rId154" Type="http://schemas.openxmlformats.org/officeDocument/2006/relationships/image" Target="media/image78.png"/><Relationship Id="rId153" Type="http://schemas.openxmlformats.org/officeDocument/2006/relationships/image" Target="media/image77.png"/><Relationship Id="rId152" Type="http://schemas.openxmlformats.org/officeDocument/2006/relationships/oleObject" Target="embeddings/oleObject73.bin"/><Relationship Id="rId151" Type="http://schemas.openxmlformats.org/officeDocument/2006/relationships/image" Target="media/image76.png"/><Relationship Id="rId150" Type="http://schemas.openxmlformats.org/officeDocument/2006/relationships/image" Target="media/image75.wmf"/><Relationship Id="rId15" Type="http://schemas.openxmlformats.org/officeDocument/2006/relationships/oleObject" Target="embeddings/oleObject6.bin"/><Relationship Id="rId149" Type="http://schemas.openxmlformats.org/officeDocument/2006/relationships/oleObject" Target="embeddings/oleObject72.bin"/><Relationship Id="rId148" Type="http://schemas.openxmlformats.org/officeDocument/2006/relationships/image" Target="media/image74.wmf"/><Relationship Id="rId147" Type="http://schemas.openxmlformats.org/officeDocument/2006/relationships/oleObject" Target="embeddings/oleObject71.bin"/><Relationship Id="rId146" Type="http://schemas.openxmlformats.org/officeDocument/2006/relationships/image" Target="media/image73.wmf"/><Relationship Id="rId145" Type="http://schemas.openxmlformats.org/officeDocument/2006/relationships/oleObject" Target="embeddings/oleObject70.bin"/><Relationship Id="rId144" Type="http://schemas.openxmlformats.org/officeDocument/2006/relationships/image" Target="media/image72.wmf"/><Relationship Id="rId143" Type="http://schemas.openxmlformats.org/officeDocument/2006/relationships/oleObject" Target="embeddings/oleObject69.bin"/><Relationship Id="rId142" Type="http://schemas.openxmlformats.org/officeDocument/2006/relationships/image" Target="media/image71.wmf"/><Relationship Id="rId141" Type="http://schemas.openxmlformats.org/officeDocument/2006/relationships/oleObject" Target="embeddings/oleObject68.bin"/><Relationship Id="rId140" Type="http://schemas.openxmlformats.org/officeDocument/2006/relationships/image" Target="media/image70.wmf"/><Relationship Id="rId14" Type="http://schemas.openxmlformats.org/officeDocument/2006/relationships/image" Target="media/image6.wmf"/><Relationship Id="rId139" Type="http://schemas.openxmlformats.org/officeDocument/2006/relationships/oleObject" Target="embeddings/oleObject67.bin"/><Relationship Id="rId138" Type="http://schemas.openxmlformats.org/officeDocument/2006/relationships/image" Target="media/image69.png"/><Relationship Id="rId137" Type="http://schemas.openxmlformats.org/officeDocument/2006/relationships/image" Target="media/image68.png"/><Relationship Id="rId136" Type="http://schemas.openxmlformats.org/officeDocument/2006/relationships/image" Target="media/image67.png"/><Relationship Id="rId135" Type="http://schemas.openxmlformats.org/officeDocument/2006/relationships/oleObject" Target="embeddings/oleObject66.bin"/><Relationship Id="rId134" Type="http://schemas.openxmlformats.org/officeDocument/2006/relationships/image" Target="media/image66.wmf"/><Relationship Id="rId133" Type="http://schemas.openxmlformats.org/officeDocument/2006/relationships/oleObject" Target="embeddings/oleObject65.bin"/><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wmf"/><Relationship Id="rId13" Type="http://schemas.openxmlformats.org/officeDocument/2006/relationships/oleObject" Target="embeddings/oleObject5.bin"/><Relationship Id="rId129" Type="http://schemas.openxmlformats.org/officeDocument/2006/relationships/oleObject" Target="embeddings/oleObject63.bin"/><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oleObject" Target="embeddings/oleObject61.bin"/><Relationship Id="rId125" Type="http://schemas.openxmlformats.org/officeDocument/2006/relationships/image" Target="media/image62.wmf"/><Relationship Id="rId124" Type="http://schemas.openxmlformats.org/officeDocument/2006/relationships/oleObject" Target="embeddings/oleObject60.bin"/><Relationship Id="rId123" Type="http://schemas.openxmlformats.org/officeDocument/2006/relationships/image" Target="media/image61.wmf"/><Relationship Id="rId122" Type="http://schemas.openxmlformats.org/officeDocument/2006/relationships/oleObject" Target="embeddings/oleObject59.bin"/><Relationship Id="rId121" Type="http://schemas.openxmlformats.org/officeDocument/2006/relationships/image" Target="media/image60.wmf"/><Relationship Id="rId120" Type="http://schemas.openxmlformats.org/officeDocument/2006/relationships/oleObject" Target="embeddings/oleObject58.bin"/><Relationship Id="rId12" Type="http://schemas.openxmlformats.org/officeDocument/2006/relationships/image" Target="media/image5.wmf"/><Relationship Id="rId119" Type="http://schemas.openxmlformats.org/officeDocument/2006/relationships/image" Target="media/image59.wmf"/><Relationship Id="rId118" Type="http://schemas.openxmlformats.org/officeDocument/2006/relationships/oleObject" Target="embeddings/oleObject57.bin"/><Relationship Id="rId117" Type="http://schemas.openxmlformats.org/officeDocument/2006/relationships/image" Target="media/image58.wmf"/><Relationship Id="rId116" Type="http://schemas.openxmlformats.org/officeDocument/2006/relationships/oleObject" Target="embeddings/oleObject56.bin"/><Relationship Id="rId115" Type="http://schemas.openxmlformats.org/officeDocument/2006/relationships/image" Target="media/image57.wmf"/><Relationship Id="rId114" Type="http://schemas.openxmlformats.org/officeDocument/2006/relationships/oleObject" Target="embeddings/oleObject55.bin"/><Relationship Id="rId113" Type="http://schemas.openxmlformats.org/officeDocument/2006/relationships/image" Target="media/image56.wmf"/><Relationship Id="rId112" Type="http://schemas.openxmlformats.org/officeDocument/2006/relationships/oleObject" Target="embeddings/oleObject54.bin"/><Relationship Id="rId111" Type="http://schemas.openxmlformats.org/officeDocument/2006/relationships/image" Target="media/image55.wmf"/><Relationship Id="rId110" Type="http://schemas.openxmlformats.org/officeDocument/2006/relationships/oleObject" Target="embeddings/oleObject53.bin"/><Relationship Id="rId11" Type="http://schemas.openxmlformats.org/officeDocument/2006/relationships/oleObject" Target="embeddings/oleObject4.bin"/><Relationship Id="rId109" Type="http://schemas.openxmlformats.org/officeDocument/2006/relationships/image" Target="media/image54.wmf"/><Relationship Id="rId108" Type="http://schemas.openxmlformats.org/officeDocument/2006/relationships/oleObject" Target="embeddings/oleObject52.bin"/><Relationship Id="rId107" Type="http://schemas.openxmlformats.org/officeDocument/2006/relationships/image" Target="media/image53.png"/><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3150</Words>
  <Characters>3425</Characters>
  <Lines>74</Lines>
  <Paragraphs>20</Paragraphs>
  <TotalTime>498</TotalTime>
  <ScaleCrop>false</ScaleCrop>
  <LinksUpToDate>false</LinksUpToDate>
  <CharactersWithSpaces>3459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2025-01-02T13:39:00Z</dcterms:created>
  <dc:creator>kkkk24</dc:creator>
  <cp:lastModifiedBy>扬帆</cp:lastModifiedBy>
  <dcterms:modified xsi:type="dcterms:W3CDTF">2025-01-27T12:25:41Z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63B40A23D598474598F332F68B6A6FC9_12</vt:lpwstr>
  </property>
  <property fmtid="{D5CDD505-2E9C-101B-9397-08002B2CF9AE}" pid="4" name="KSOTemplateDocerSaveRecord">
    <vt:lpwstr>eyJoZGlkIjoiZjlhZTQzNzRkODJmMDFmNjQ1YTljZGQzY2NlZDViZDAiLCJ1c2VySWQiOiIyMjcwNjkwNzAifQ==</vt:lpwstr>
  </property>
  <property fmtid="{D5CDD505-2E9C-101B-9397-08002B2CF9AE}" pid="5" name="MTWinEqns">
    <vt:bool>true</vt:bool>
  </property>
</Properties>
</file>