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Edited document generated: 2025-11-25 21:41</w:t>
      </w:r>
    </w:p>
    <w:p/>
    <w:p>
      <w:r>
        <w:t>The client may terminate the agreement if the vendor fails to meet performance standards.</w:t>
      </w:r>
    </w:p>
    <w:p>
      <w:r>
        <w:t>The vendor shall promptly report any data breach to the client.</w:t>
      </w:r>
    </w:p>
    <w:p>
      <w:r>
        <w:t>The customer shall test and approve deliverables within 10 business days.</w:t>
      </w:r>
    </w:p>
    <w:p>
      <w:r>
        <w:t>The client agrees to pay additional fees for expedited delivery.</w:t>
      </w:r>
    </w:p>
    <w:p>
      <w:r>
        <w:t>The customer shall test and approve deliverables within 10 business days.</w:t>
      </w:r>
    </w:p>
    <w:p>
      <w:r>
        <w:t>The agreement shall automatically renew for successive one-year terms.</w:t>
      </w:r>
    </w:p>
    <w:p>
      <w:r>
        <w:t>The client may request modification of services upon 10 days’ notice.</w:t>
      </w:r>
    </w:p>
    <w:p>
      <w:r>
        <w:t>The service provider shall not be liable for indirect or consequential damages.</w:t>
      </w:r>
    </w:p>
    <w:p>
      <w:r>
        <w:t>The customer shall indemnify the supplier against all claims arising from misuse.</w:t>
      </w:r>
    </w:p>
    <w:p>
      <w:r>
        <w:t>The contractor must not disclose the client’s name without consent.</w:t>
      </w:r>
    </w:p>
    <w:p>
      <w:r>
        <w:t>All work, ideas, business strategies, and materials created by Client become the exclusive property of Provider. 8. Governing Law.</w:t>
      </w:r>
    </w:p>
    <w:p>
      <w:r>
        <w:t>This Agreement shall be governed exclusively by the laws of a country selected later by Provider. 9. Dispute Resolution.</w:t>
      </w:r>
    </w:p>
    <w:p>
      <w:r>
        <w:t>Any disputes shall be referred to arbitration in New York.</w:t>
      </w:r>
    </w:p>
    <w:p>
      <w:r>
        <w:t>Client waives all rights to appeal. 10. Amendments.</w:t>
      </w:r>
    </w:p>
    <w:p>
      <w:r>
        <w:t>The client may request modification of services upon 10 days’ notice.</w:t>
      </w:r>
    </w:p>
    <w:p>
      <w:r>
        <w:t>Continued use of services constitutes acceptance of all changes.</w:t>
      </w:r>
    </w:p>
    <w:p>
      <w:r>
        <w:t>IN WITNESS WHEREOF, the parties have executed this Agreement as of the Effective Date.</w:t>
      </w:r>
    </w:p>
    <w:p>
      <w:r>
        <w:t>The contractor must not disclose the client’s name without consent.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