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A3C" w:rsidRDefault="00B45A3C" w:rsidP="00B45A3C">
      <w:pPr>
        <w:pStyle w:val="Heading1"/>
      </w:pPr>
      <w:bookmarkStart w:id="0" w:name="_Toc494049379"/>
      <w:r w:rsidRPr="00E455B4">
        <w:t>Supplementary Materials</w:t>
      </w:r>
      <w:bookmarkEnd w:id="0"/>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1" w:name="_Toc494049380"/>
      <w:r w:rsidRPr="00E455B4">
        <w:t>Source code</w:t>
      </w:r>
      <w:bookmarkEnd w:id="1"/>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r w:rsidRPr="00CD5025">
        <w:rPr>
          <w:rFonts w:ascii="Times New Roman" w:hAnsi="Times New Roman" w:cs="Times New Roman"/>
          <w:sz w:val="20"/>
          <w:szCs w:val="20"/>
          <w:lang w:val="en-US"/>
        </w:rPr>
        <w:t>https://github.com/kkkmail/CLM/</w:t>
      </w:r>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rates</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BF2FBF">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2" w:name="_Toc494049381"/>
      <w:r w:rsidRPr="007D1CBF">
        <w:t>Main results of the article</w:t>
      </w:r>
      <w:bookmarkEnd w:id="2"/>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76568B" w:rsidP="0076568B">
      <w:pPr>
        <w:jc w:val="both"/>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w:t>
      </w:r>
      <w:r>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File </w:t>
      </w:r>
      <w:r w:rsidRPr="00CD5025">
        <w:rPr>
          <w:rFonts w:ascii="Times New Roman" w:hAnsi="Times New Roman" w:cs="Times New Roman"/>
          <w:sz w:val="20"/>
          <w:szCs w:val="20"/>
          <w:lang w:val="en-US"/>
        </w:rPr>
        <w:t>https://github.com/kkkmail/CLM/blob/master/Results/ISSOL_201612/CLM_ResultInfo.m</w:t>
      </w:r>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proofErr w:type="spellStart"/>
      <w:r w:rsidRPr="00AD460A">
        <w:rPr>
          <w:rFonts w:ascii="Times New Roman" w:hAnsi="Times New Roman" w:cs="Times New Roman"/>
          <w:b/>
          <w:sz w:val="20"/>
          <w:szCs w:val="20"/>
          <w:lang w:val="en-US"/>
        </w:rPr>
        <w:t>PathList</w:t>
      </w:r>
      <w:proofErr w:type="spellEnd"/>
      <w:r>
        <w:rPr>
          <w:rFonts w:ascii="Times New Roman" w:hAnsi="Times New Roman" w:cs="Times New Roman"/>
          <w:sz w:val="20"/>
          <w:szCs w:val="20"/>
          <w:lang w:val="en-US"/>
        </w:rPr>
        <w:t xml:space="preserve"> must be set to point to the correct location of the data (described below) and then parameter </w:t>
      </w:r>
      <w:proofErr w:type="spellStart"/>
      <w:r w:rsidRPr="00AD460A">
        <w:rPr>
          <w:rFonts w:ascii="Times New Roman" w:hAnsi="Times New Roman" w:cs="Times New Roman"/>
          <w:b/>
          <w:sz w:val="20"/>
          <w:szCs w:val="20"/>
          <w:lang w:val="en-US"/>
        </w:rPr>
        <w:t>resultID</w:t>
      </w:r>
      <w:proofErr w:type="spellEnd"/>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r w:rsidRPr="00CD5025">
        <w:rPr>
          <w:rFonts w:ascii="Times New Roman" w:hAnsi="Times New Roman" w:cs="Times New Roman"/>
          <w:sz w:val="20"/>
          <w:szCs w:val="20"/>
          <w:lang w:val="en-US"/>
        </w:rPr>
        <w:t>https://github.com/kkkmail/CLM/tree/master/Results/ISSOL_201612/Calc/APED</w:t>
      </w:r>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3" w:name="_Toc494049382"/>
      <w:r w:rsidRPr="00044A3D">
        <w:t>Naming</w:t>
      </w:r>
      <w:r w:rsidR="00F30FC7" w:rsidRPr="00044A3D">
        <w:t xml:space="preserve"> and Folder </w:t>
      </w:r>
      <w:r w:rsidRPr="00044A3D">
        <w:t>conventions</w:t>
      </w:r>
      <w:bookmarkEnd w:id="3"/>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w:t>
      </w:r>
      <w:proofErr w:type="spellStart"/>
      <w:r w:rsidRPr="00044A3D">
        <w:rPr>
          <w:rFonts w:ascii="Times New Roman" w:hAnsi="Times New Roman" w:cs="Times New Roman"/>
          <w:sz w:val="20"/>
          <w:szCs w:val="20"/>
          <w:lang w:val="en-US"/>
        </w:rPr>
        <w:t>precomputed</w:t>
      </w:r>
      <w:proofErr w:type="spellEnd"/>
      <w:r w:rsidRPr="00044A3D">
        <w:rPr>
          <w:rFonts w:ascii="Times New Roman" w:hAnsi="Times New Roman" w:cs="Times New Roman"/>
          <w:sz w:val="20"/>
          <w:szCs w:val="20"/>
          <w:lang w:val="en-US"/>
        </w:rPr>
        <w:t xml:space="preserve">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F30FC7">
      <w:pPr>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https://github.com/kkkmail/CLM/tree/master/Results/ISSOL_201612/Calc/Evolution/L5/A/Cmp/g%3D010</w:t>
      </w:r>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E467C6">
      <w:pPr>
        <w:rPr>
          <w:rFonts w:ascii="Times New Roman" w:hAnsi="Times New Roman" w:cs="Times New Roman"/>
          <w:sz w:val="20"/>
          <w:szCs w:val="20"/>
          <w:lang w:val="en-US"/>
        </w:rPr>
      </w:pPr>
      <w:r w:rsidRPr="00CD5025">
        <w:rPr>
          <w:rFonts w:ascii="Times New Roman" w:hAnsi="Times New Roman" w:cs="Times New Roman"/>
          <w:sz w:val="20"/>
          <w:szCs w:val="20"/>
          <w:lang w:val="en-US"/>
        </w:rPr>
        <w:t>https://github.com/kkkmail/CLM/tree/master/Results/ISSOL_201612/Calc/Evolution/L5/NA/Cpm/g%3D010</w:t>
      </w:r>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w:t>
      </w:r>
      <w:r w:rsidR="00BF2FBF">
        <w:rPr>
          <w:rFonts w:ascii="Times New Roman" w:hAnsi="Times New Roman" w:cs="Times New Roman"/>
          <w:sz w:val="20"/>
          <w:szCs w:val="20"/>
          <w:lang w:val="en-US"/>
        </w:rPr>
        <w:t xml:space="preserve"> (polymerization)</w:t>
      </w:r>
      <w:r>
        <w:rPr>
          <w:rFonts w:ascii="Times New Roman" w:hAnsi="Times New Roman" w:cs="Times New Roman"/>
          <w:sz w:val="20"/>
          <w:szCs w:val="20"/>
          <w:lang w:val="en-US"/>
        </w:rPr>
        <w:t xml:space="preserve">,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3944D0"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proofErr w:type="gramStart"/>
            <w:r w:rsidRPr="00AB4EEE">
              <w:rPr>
                <w:rFonts w:ascii="Times New Roman" w:hAnsi="Times New Roman"/>
                <w:b/>
              </w:rPr>
              <w:t>pm</w:t>
            </w:r>
            <w:r w:rsidR="00EC28F0">
              <w:rPr>
                <w:rFonts w:ascii="Times New Roman" w:hAnsi="Times New Roman"/>
              </w:rPr>
              <w:t xml:space="preserve"> ,</w:t>
            </w:r>
            <w:proofErr w:type="gramEnd"/>
            <w:r w:rsidR="00EC28F0">
              <w:rPr>
                <w:rFonts w:ascii="Times New Roman" w:hAnsi="Times New Roman"/>
              </w:rPr>
              <w:t xml:space="preserve"> </w:t>
            </w:r>
            <w:proofErr w:type="spellStart"/>
            <w:r w:rsidR="00EC28F0" w:rsidRPr="00EC28F0">
              <w:rPr>
                <w:rFonts w:ascii="Times New Roman" w:hAnsi="Times New Roman"/>
                <w:b/>
              </w:rPr>
              <w:t>zz</w:t>
            </w:r>
            <w:proofErr w:type="spellEnd"/>
            <w:r w:rsidR="00EC28F0">
              <w:rPr>
                <w:rFonts w:ascii="Times New Roman" w:hAnsi="Times New Roman"/>
              </w:rPr>
              <w:t xml:space="preserve">, or </w:t>
            </w:r>
            <w:proofErr w:type="spellStart"/>
            <w:r w:rsidR="00EC28F0" w:rsidRPr="00EC28F0">
              <w:rPr>
                <w:rFonts w:ascii="Times New Roman" w:hAnsi="Times New Roman"/>
                <w:b/>
              </w:rPr>
              <w:t>nn</w:t>
            </w:r>
            <w:proofErr w:type="spellEnd"/>
            <w:r w:rsidR="00EC28F0">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5248A1">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proofErr w:type="spellStart"/>
            <w:r w:rsidR="00AD66FF" w:rsidRPr="00AF2602">
              <w:rPr>
                <w:rFonts w:ascii="Times New Roman" w:hAnsi="Times New Roman"/>
                <w:b/>
              </w:rPr>
              <w:t>Cmp</w:t>
            </w:r>
            <w:proofErr w:type="spellEnd"/>
            <w:r w:rsidR="00AD66FF">
              <w:rPr>
                <w:rFonts w:ascii="Times New Roman" w:hAnsi="Times New Roman"/>
              </w:rPr>
              <w:t xml:space="preserve"> / </w:t>
            </w:r>
            <w:proofErr w:type="spellStart"/>
            <w:r w:rsidR="00AD66FF" w:rsidRPr="00AF2602">
              <w:rPr>
                <w:rFonts w:ascii="Times New Roman" w:hAnsi="Times New Roman"/>
                <w:b/>
              </w:rPr>
              <w:t>Cpm</w:t>
            </w:r>
            <w:proofErr w:type="spellEnd"/>
            <w:r w:rsidR="00AD66FF">
              <w:rPr>
                <w:rFonts w:ascii="Times New Roman" w:hAnsi="Times New Roman"/>
              </w:rPr>
              <w:t xml:space="preserve"> coding.</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BF2FB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BF2FB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BF2FB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BF2FB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BF2FB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3944D0"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Lzz</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Lzz</w:t>
            </w:r>
            <w:proofErr w:type="spellEnd"/>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3944D0"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BF2FBF">
              <w:rPr>
                <w:rFonts w:ascii="Times New Roman" w:hAnsi="Times New Roman"/>
              </w:rPr>
              <w:t>"</w:t>
            </w:r>
            <w:r w:rsidR="00AD66FF">
              <w:rPr>
                <w:rFonts w:ascii="Times New Roman" w:hAnsi="Times New Roman"/>
              </w:rPr>
              <w:t>R</w:t>
            </w:r>
            <w:r w:rsidR="00BF2FBF">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proofErr w:type="spellStart"/>
      <w:r w:rsidRPr="003171F5">
        <w:rPr>
          <w:rFonts w:ascii="Times New Roman" w:hAnsi="Times New Roman" w:cs="Times New Roman"/>
          <w:b/>
          <w:sz w:val="20"/>
          <w:szCs w:val="20"/>
          <w:lang w:val="en-US"/>
        </w:rPr>
        <w:t>Params</w:t>
      </w:r>
      <w:proofErr w:type="spellEnd"/>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into </w:t>
      </w:r>
      <w:proofErr w:type="spellStart"/>
      <w:r w:rsidR="00A34513" w:rsidRPr="00A34513">
        <w:rPr>
          <w:rFonts w:ascii="Times New Roman" w:hAnsi="Times New Roman" w:cs="Times New Roman"/>
          <w:b/>
          <w:sz w:val="20"/>
          <w:szCs w:val="20"/>
          <w:lang w:val="en-US"/>
        </w:rPr>
        <w:t>CnnAll</w:t>
      </w:r>
      <w:proofErr w:type="spellEnd"/>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 </w:t>
      </w:r>
      <w:proofErr w:type="spellStart"/>
      <w:r w:rsidR="00A34513" w:rsidRPr="00A34513">
        <w:rPr>
          <w:rFonts w:ascii="Times New Roman" w:hAnsi="Times New Roman" w:cs="Times New Roman"/>
          <w:b/>
          <w:sz w:val="20"/>
          <w:szCs w:val="20"/>
          <w:lang w:val="en-US"/>
        </w:rPr>
        <w:t>CpmAll</w:t>
      </w:r>
      <w:proofErr w:type="spellEnd"/>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CnnAll</w:t>
      </w:r>
      <w:proofErr w:type="spellEnd"/>
      <w:r>
        <w:rPr>
          <w:rFonts w:ascii="Times New Roman" w:hAnsi="Times New Roman" w:cs="Times New Roman"/>
          <w:sz w:val="20"/>
          <w:szCs w:val="20"/>
          <w:lang w:val="en-US"/>
        </w:rPr>
        <w:t xml:space="preserve"> and </w:t>
      </w:r>
      <w:proofErr w:type="spellStart"/>
      <w:r w:rsidRPr="00A34513">
        <w:rPr>
          <w:rFonts w:ascii="Times New Roman" w:hAnsi="Times New Roman" w:cs="Times New Roman"/>
          <w:b/>
          <w:sz w:val="20"/>
          <w:szCs w:val="20"/>
          <w:lang w:val="en-US"/>
        </w:rPr>
        <w:t>CpmAll</w:t>
      </w:r>
      <w:proofErr w:type="spellEnd"/>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proofErr w:type="spellStart"/>
      <w:r w:rsidR="00636A08" w:rsidRPr="00006DF0">
        <w:rPr>
          <w:rFonts w:ascii="Times New Roman" w:hAnsi="Times New Roman" w:cs="Times New Roman"/>
          <w:b/>
          <w:sz w:val="20"/>
          <w:szCs w:val="20"/>
          <w:lang w:val="en-US"/>
        </w:rPr>
        <w:t>CLM_ResultInfo.m</w:t>
      </w:r>
      <w:proofErr w:type="spellEnd"/>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pgSz w:w="12240" w:h="15840" w:code="1"/>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030" w:rsidRDefault="00642030" w:rsidP="00BA12EB">
      <w:pPr>
        <w:spacing w:after="0" w:line="240" w:lineRule="auto"/>
      </w:pPr>
      <w:r>
        <w:separator/>
      </w:r>
    </w:p>
    <w:p w:rsidR="00642030" w:rsidRDefault="00642030"/>
  </w:endnote>
  <w:endnote w:type="continuationSeparator" w:id="0">
    <w:p w:rsidR="00642030" w:rsidRDefault="00642030" w:rsidP="00BA12EB">
      <w:pPr>
        <w:spacing w:after="0" w:line="240" w:lineRule="auto"/>
      </w:pPr>
      <w:r>
        <w:continuationSeparator/>
      </w:r>
    </w:p>
    <w:p w:rsidR="00642030" w:rsidRDefault="00642030"/>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030" w:rsidRDefault="00642030" w:rsidP="00BA12EB">
      <w:pPr>
        <w:spacing w:after="0" w:line="240" w:lineRule="auto"/>
      </w:pPr>
      <w:r>
        <w:separator/>
      </w:r>
    </w:p>
    <w:p w:rsidR="00642030" w:rsidRDefault="00642030"/>
  </w:footnote>
  <w:footnote w:type="continuationSeparator" w:id="0">
    <w:p w:rsidR="00642030" w:rsidRDefault="00642030" w:rsidP="00BA12EB">
      <w:pPr>
        <w:spacing w:after="0" w:line="240" w:lineRule="auto"/>
      </w:pPr>
      <w:r>
        <w:continuationSeparator/>
      </w:r>
    </w:p>
    <w:p w:rsidR="00642030" w:rsidRDefault="0064203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hdrShapeDefaults>
    <o:shapedefaults v:ext="edit" spidmax="104450"/>
  </w:hdrShapeDefaults>
  <w:footnotePr>
    <w:footnote w:id="-1"/>
    <w:footnote w:id="0"/>
  </w:footnotePr>
  <w:endnotePr>
    <w:endnote w:id="-1"/>
    <w:endnote w:id="0"/>
  </w:endnotePr>
  <w:compat/>
  <w:docVars>
    <w:docVar w:name="Total_Editing_Time" w:val="6"/>
  </w:docVars>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1FDD"/>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A69"/>
    <w:rsid w:val="00063FA2"/>
    <w:rsid w:val="00064CCB"/>
    <w:rsid w:val="00065A84"/>
    <w:rsid w:val="00065C17"/>
    <w:rsid w:val="00066011"/>
    <w:rsid w:val="000660E5"/>
    <w:rsid w:val="00066132"/>
    <w:rsid w:val="00066FF6"/>
    <w:rsid w:val="00070282"/>
    <w:rsid w:val="00071A70"/>
    <w:rsid w:val="00071BD9"/>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0C32"/>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A6A"/>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1EC8"/>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0AF"/>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3D7E"/>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6D8B"/>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044"/>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52"/>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430"/>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2EBE"/>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DB7"/>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67777"/>
    <w:rsid w:val="002711A6"/>
    <w:rsid w:val="00271B33"/>
    <w:rsid w:val="00271BC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6DF8"/>
    <w:rsid w:val="0028769B"/>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5FA5"/>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2D29"/>
    <w:rsid w:val="002D3028"/>
    <w:rsid w:val="002D368A"/>
    <w:rsid w:val="002D3F1B"/>
    <w:rsid w:val="002D569F"/>
    <w:rsid w:val="002D63A5"/>
    <w:rsid w:val="002E0A27"/>
    <w:rsid w:val="002E1C36"/>
    <w:rsid w:val="002E1D50"/>
    <w:rsid w:val="002E2E23"/>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2E40"/>
    <w:rsid w:val="00323342"/>
    <w:rsid w:val="00323727"/>
    <w:rsid w:val="00325321"/>
    <w:rsid w:val="00325BEB"/>
    <w:rsid w:val="00325F3D"/>
    <w:rsid w:val="00326BBE"/>
    <w:rsid w:val="0032725B"/>
    <w:rsid w:val="00327D6A"/>
    <w:rsid w:val="003302D3"/>
    <w:rsid w:val="00330E10"/>
    <w:rsid w:val="00330FF1"/>
    <w:rsid w:val="00332155"/>
    <w:rsid w:val="00332360"/>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29CB"/>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4D0"/>
    <w:rsid w:val="00394AB4"/>
    <w:rsid w:val="00394CB3"/>
    <w:rsid w:val="003950ED"/>
    <w:rsid w:val="003962B1"/>
    <w:rsid w:val="003964D5"/>
    <w:rsid w:val="00396C66"/>
    <w:rsid w:val="003972F3"/>
    <w:rsid w:val="00397662"/>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C4B56"/>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1EE3"/>
    <w:rsid w:val="003F1FD4"/>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B01"/>
    <w:rsid w:val="00440D6D"/>
    <w:rsid w:val="004415EF"/>
    <w:rsid w:val="00441746"/>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B11"/>
    <w:rsid w:val="00457CD3"/>
    <w:rsid w:val="00460348"/>
    <w:rsid w:val="00460E2C"/>
    <w:rsid w:val="00460E54"/>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72C"/>
    <w:rsid w:val="00482D9F"/>
    <w:rsid w:val="00483359"/>
    <w:rsid w:val="00483981"/>
    <w:rsid w:val="00483E29"/>
    <w:rsid w:val="0048436B"/>
    <w:rsid w:val="00485E8E"/>
    <w:rsid w:val="004862FF"/>
    <w:rsid w:val="00486805"/>
    <w:rsid w:val="00486E06"/>
    <w:rsid w:val="00487001"/>
    <w:rsid w:val="00487FF9"/>
    <w:rsid w:val="00490340"/>
    <w:rsid w:val="00490D70"/>
    <w:rsid w:val="0049134A"/>
    <w:rsid w:val="0049135B"/>
    <w:rsid w:val="00491596"/>
    <w:rsid w:val="00491652"/>
    <w:rsid w:val="004925A8"/>
    <w:rsid w:val="004925C8"/>
    <w:rsid w:val="004936CF"/>
    <w:rsid w:val="004939E3"/>
    <w:rsid w:val="004945D0"/>
    <w:rsid w:val="004951B9"/>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502"/>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4B3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8A1"/>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472D2"/>
    <w:rsid w:val="00547925"/>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01E"/>
    <w:rsid w:val="00580FA4"/>
    <w:rsid w:val="005823B9"/>
    <w:rsid w:val="00584344"/>
    <w:rsid w:val="00584FAA"/>
    <w:rsid w:val="005859C9"/>
    <w:rsid w:val="005861F0"/>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63BE"/>
    <w:rsid w:val="005C71BB"/>
    <w:rsid w:val="005D0048"/>
    <w:rsid w:val="005D0242"/>
    <w:rsid w:val="005D1184"/>
    <w:rsid w:val="005D1369"/>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737"/>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030"/>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5C65"/>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3CD5"/>
    <w:rsid w:val="006D535D"/>
    <w:rsid w:val="006D5F65"/>
    <w:rsid w:val="006D7EE2"/>
    <w:rsid w:val="006D7EE3"/>
    <w:rsid w:val="006E0593"/>
    <w:rsid w:val="006E0D9A"/>
    <w:rsid w:val="006E0E23"/>
    <w:rsid w:val="006E18BA"/>
    <w:rsid w:val="006E1FA0"/>
    <w:rsid w:val="006E3475"/>
    <w:rsid w:val="006E35BD"/>
    <w:rsid w:val="006E3708"/>
    <w:rsid w:val="006E426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1F2A"/>
    <w:rsid w:val="00702355"/>
    <w:rsid w:val="00703AD7"/>
    <w:rsid w:val="00703BCA"/>
    <w:rsid w:val="0070441A"/>
    <w:rsid w:val="00704D4A"/>
    <w:rsid w:val="00705434"/>
    <w:rsid w:val="00706CE5"/>
    <w:rsid w:val="00706F99"/>
    <w:rsid w:val="007074A7"/>
    <w:rsid w:val="00707EDD"/>
    <w:rsid w:val="0071065D"/>
    <w:rsid w:val="0071085B"/>
    <w:rsid w:val="00710C9D"/>
    <w:rsid w:val="00711435"/>
    <w:rsid w:val="00711C4E"/>
    <w:rsid w:val="00711DD8"/>
    <w:rsid w:val="007125A5"/>
    <w:rsid w:val="007128AA"/>
    <w:rsid w:val="007130F8"/>
    <w:rsid w:val="0071407E"/>
    <w:rsid w:val="0071501F"/>
    <w:rsid w:val="00715079"/>
    <w:rsid w:val="00715CAA"/>
    <w:rsid w:val="0071604A"/>
    <w:rsid w:val="007178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27F6E"/>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2E28"/>
    <w:rsid w:val="00743088"/>
    <w:rsid w:val="00743B28"/>
    <w:rsid w:val="00743C3C"/>
    <w:rsid w:val="00744199"/>
    <w:rsid w:val="0074433B"/>
    <w:rsid w:val="007446B0"/>
    <w:rsid w:val="007446D6"/>
    <w:rsid w:val="00745437"/>
    <w:rsid w:val="00745901"/>
    <w:rsid w:val="0074618F"/>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39"/>
    <w:rsid w:val="007742A4"/>
    <w:rsid w:val="0077707E"/>
    <w:rsid w:val="007772EC"/>
    <w:rsid w:val="0078042E"/>
    <w:rsid w:val="00780521"/>
    <w:rsid w:val="007818BF"/>
    <w:rsid w:val="00781994"/>
    <w:rsid w:val="0078205D"/>
    <w:rsid w:val="007821AE"/>
    <w:rsid w:val="00782FEA"/>
    <w:rsid w:val="0078321E"/>
    <w:rsid w:val="00783D29"/>
    <w:rsid w:val="00783D3D"/>
    <w:rsid w:val="007846CE"/>
    <w:rsid w:val="00784A47"/>
    <w:rsid w:val="00785676"/>
    <w:rsid w:val="00785C95"/>
    <w:rsid w:val="007866C6"/>
    <w:rsid w:val="00786A59"/>
    <w:rsid w:val="00786E22"/>
    <w:rsid w:val="00787F50"/>
    <w:rsid w:val="0079238D"/>
    <w:rsid w:val="00793174"/>
    <w:rsid w:val="00794C51"/>
    <w:rsid w:val="00794FC1"/>
    <w:rsid w:val="00797209"/>
    <w:rsid w:val="00797371"/>
    <w:rsid w:val="007A0AC3"/>
    <w:rsid w:val="007A129B"/>
    <w:rsid w:val="007A1D18"/>
    <w:rsid w:val="007A20A3"/>
    <w:rsid w:val="007A2106"/>
    <w:rsid w:val="007A2781"/>
    <w:rsid w:val="007A2B5C"/>
    <w:rsid w:val="007A4DAC"/>
    <w:rsid w:val="007A50E4"/>
    <w:rsid w:val="007A5120"/>
    <w:rsid w:val="007A72C5"/>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C6328"/>
    <w:rsid w:val="007D062E"/>
    <w:rsid w:val="007D1212"/>
    <w:rsid w:val="007D17E6"/>
    <w:rsid w:val="007D197C"/>
    <w:rsid w:val="007D1CA7"/>
    <w:rsid w:val="007D1CBF"/>
    <w:rsid w:val="007D1D3B"/>
    <w:rsid w:val="007D2531"/>
    <w:rsid w:val="007D3226"/>
    <w:rsid w:val="007D34C9"/>
    <w:rsid w:val="007D3746"/>
    <w:rsid w:val="007D412C"/>
    <w:rsid w:val="007D4314"/>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64CB"/>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37679"/>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3BCB"/>
    <w:rsid w:val="00874909"/>
    <w:rsid w:val="00875085"/>
    <w:rsid w:val="008763A4"/>
    <w:rsid w:val="008809AC"/>
    <w:rsid w:val="00880C4F"/>
    <w:rsid w:val="00880D41"/>
    <w:rsid w:val="00882DAD"/>
    <w:rsid w:val="00882FD1"/>
    <w:rsid w:val="00883B2C"/>
    <w:rsid w:val="00883C23"/>
    <w:rsid w:val="00883FA1"/>
    <w:rsid w:val="00885361"/>
    <w:rsid w:val="00887B1D"/>
    <w:rsid w:val="00891057"/>
    <w:rsid w:val="0089137E"/>
    <w:rsid w:val="0089157C"/>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3B93"/>
    <w:rsid w:val="008C4108"/>
    <w:rsid w:val="008C464A"/>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4B0"/>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27D0"/>
    <w:rsid w:val="00953909"/>
    <w:rsid w:val="00954720"/>
    <w:rsid w:val="00954770"/>
    <w:rsid w:val="009553FE"/>
    <w:rsid w:val="00955882"/>
    <w:rsid w:val="009558EC"/>
    <w:rsid w:val="00955EA8"/>
    <w:rsid w:val="00956245"/>
    <w:rsid w:val="0095638E"/>
    <w:rsid w:val="00956519"/>
    <w:rsid w:val="00956703"/>
    <w:rsid w:val="00956CF5"/>
    <w:rsid w:val="009611C3"/>
    <w:rsid w:val="00962A56"/>
    <w:rsid w:val="00963BB9"/>
    <w:rsid w:val="00963BFF"/>
    <w:rsid w:val="009657CA"/>
    <w:rsid w:val="00965E90"/>
    <w:rsid w:val="00966FCD"/>
    <w:rsid w:val="0096721A"/>
    <w:rsid w:val="00967D8E"/>
    <w:rsid w:val="00971FF9"/>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749"/>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401"/>
    <w:rsid w:val="009C5ED5"/>
    <w:rsid w:val="009C5FA0"/>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4DE9"/>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2BB8"/>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4B69"/>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2C5"/>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6F9"/>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1A8D"/>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6BE"/>
    <w:rsid w:val="00B408A4"/>
    <w:rsid w:val="00B409AA"/>
    <w:rsid w:val="00B40FF8"/>
    <w:rsid w:val="00B414E0"/>
    <w:rsid w:val="00B41CBF"/>
    <w:rsid w:val="00B43529"/>
    <w:rsid w:val="00B4432B"/>
    <w:rsid w:val="00B4464A"/>
    <w:rsid w:val="00B44857"/>
    <w:rsid w:val="00B44A2E"/>
    <w:rsid w:val="00B4546C"/>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977B1"/>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68C2"/>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1983"/>
    <w:rsid w:val="00BC2643"/>
    <w:rsid w:val="00BC2CF8"/>
    <w:rsid w:val="00BC3B34"/>
    <w:rsid w:val="00BC3C3C"/>
    <w:rsid w:val="00BC4246"/>
    <w:rsid w:val="00BC4852"/>
    <w:rsid w:val="00BC7E26"/>
    <w:rsid w:val="00BC7F53"/>
    <w:rsid w:val="00BD0498"/>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D7CE9"/>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2FBF"/>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44D6"/>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00FB"/>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118B"/>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3FB4"/>
    <w:rsid w:val="00CC515E"/>
    <w:rsid w:val="00CC63B3"/>
    <w:rsid w:val="00CD1E86"/>
    <w:rsid w:val="00CD215C"/>
    <w:rsid w:val="00CD2545"/>
    <w:rsid w:val="00CD2CD8"/>
    <w:rsid w:val="00CD41D0"/>
    <w:rsid w:val="00CD44FA"/>
    <w:rsid w:val="00CD4951"/>
    <w:rsid w:val="00CD5025"/>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1E67"/>
    <w:rsid w:val="00D4223E"/>
    <w:rsid w:val="00D42775"/>
    <w:rsid w:val="00D441A8"/>
    <w:rsid w:val="00D4476A"/>
    <w:rsid w:val="00D44BCA"/>
    <w:rsid w:val="00D472C8"/>
    <w:rsid w:val="00D478E4"/>
    <w:rsid w:val="00D47C3B"/>
    <w:rsid w:val="00D47F7E"/>
    <w:rsid w:val="00D500DF"/>
    <w:rsid w:val="00D506D1"/>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9D1"/>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32D"/>
    <w:rsid w:val="00DD4623"/>
    <w:rsid w:val="00DD5F05"/>
    <w:rsid w:val="00DD60F1"/>
    <w:rsid w:val="00DD65E9"/>
    <w:rsid w:val="00DD78F1"/>
    <w:rsid w:val="00DE03F9"/>
    <w:rsid w:val="00DE0852"/>
    <w:rsid w:val="00DE11C8"/>
    <w:rsid w:val="00DE1211"/>
    <w:rsid w:val="00DE145E"/>
    <w:rsid w:val="00DE1570"/>
    <w:rsid w:val="00DE1716"/>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5BF"/>
    <w:rsid w:val="00E05D1B"/>
    <w:rsid w:val="00E06AF6"/>
    <w:rsid w:val="00E06CFC"/>
    <w:rsid w:val="00E074DB"/>
    <w:rsid w:val="00E10A99"/>
    <w:rsid w:val="00E1183E"/>
    <w:rsid w:val="00E11B33"/>
    <w:rsid w:val="00E133D6"/>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AE6"/>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56C6"/>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0D6"/>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638"/>
    <w:rsid w:val="00EE2B39"/>
    <w:rsid w:val="00EE360C"/>
    <w:rsid w:val="00EE4C19"/>
    <w:rsid w:val="00EE711F"/>
    <w:rsid w:val="00EE7421"/>
    <w:rsid w:val="00EF0ABD"/>
    <w:rsid w:val="00EF1041"/>
    <w:rsid w:val="00EF16B7"/>
    <w:rsid w:val="00EF1F0F"/>
    <w:rsid w:val="00EF2F0E"/>
    <w:rsid w:val="00EF48BA"/>
    <w:rsid w:val="00EF49F1"/>
    <w:rsid w:val="00EF59F9"/>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3E85"/>
    <w:rsid w:val="00F14789"/>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CD0"/>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BFB"/>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137"/>
    <w:rsid w:val="00FD2459"/>
    <w:rsid w:val="00FD278D"/>
    <w:rsid w:val="00FD3CA7"/>
    <w:rsid w:val="00FD437C"/>
    <w:rsid w:val="00FD57B7"/>
    <w:rsid w:val="00FD6322"/>
    <w:rsid w:val="00FD6467"/>
    <w:rsid w:val="00FD746B"/>
    <w:rsid w:val="00FD7CFF"/>
    <w:rsid w:val="00FE054B"/>
    <w:rsid w:val="00FE1D07"/>
    <w:rsid w:val="00FE362D"/>
    <w:rsid w:val="00FE3D50"/>
    <w:rsid w:val="00FE49EA"/>
    <w:rsid w:val="00FE61A0"/>
    <w:rsid w:val="00FE61B7"/>
    <w:rsid w:val="00FE67C8"/>
    <w:rsid w:val="00FE7550"/>
    <w:rsid w:val="00FF107D"/>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CEB1-71F7-4171-A58B-13EA10EC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1436</Words>
  <Characters>7469</Characters>
  <Application>Microsoft Office Word</Application>
  <DocSecurity>0</DocSecurity>
  <Lines>233</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Konstantinov</dc:creator>
  <cp:lastModifiedBy>S3G_Apply_Fixed_Case</cp:lastModifiedBy>
  <cp:revision>2</cp:revision>
  <cp:lastPrinted>2017-10-05T01:20:00Z</cp:lastPrinted>
  <dcterms:created xsi:type="dcterms:W3CDTF">2017-10-05T01:21:00Z</dcterms:created>
  <dcterms:modified xsi:type="dcterms:W3CDTF">2017-10-05T01:21:00Z</dcterms:modified>
</cp:coreProperties>
</file>