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proofErr w:type="spellStart"/>
      <w:r w:rsidRPr="00F61F53">
        <w:rPr>
          <w:rFonts w:ascii="Times New Roman" w:hAnsi="Times New Roman" w:cs="Times New Roman"/>
          <w:b/>
          <w:sz w:val="28"/>
          <w:szCs w:val="28"/>
          <w:lang w:val="fr-CA"/>
        </w:rPr>
        <w:t>Title</w:t>
      </w:r>
      <w:proofErr w:type="spellEnd"/>
      <w:r w:rsidRPr="00F61F53">
        <w:rPr>
          <w:rFonts w:ascii="Times New Roman" w:hAnsi="Times New Roman" w:cs="Times New Roman"/>
          <w:b/>
          <w:sz w:val="28"/>
          <w:szCs w:val="28"/>
          <w:lang w:val="fr-CA"/>
        </w:rPr>
        <w:t xml:space="preserv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 xml:space="preserve">A.V. </w:t>
      </w:r>
      <w:proofErr w:type="spellStart"/>
      <w:r w:rsidRPr="004B3478">
        <w:rPr>
          <w:rFonts w:ascii="Times New Roman" w:hAnsi="Times New Roman" w:cs="Times New Roman"/>
          <w:sz w:val="20"/>
          <w:szCs w:val="20"/>
          <w:lang w:val="en-US"/>
        </w:rPr>
        <w:t>Shubnikov</w:t>
      </w:r>
      <w:proofErr w:type="spellEnd"/>
      <w:r w:rsidRPr="004B3478">
        <w:rPr>
          <w:rFonts w:ascii="Times New Roman" w:hAnsi="Times New Roman" w:cs="Times New Roman"/>
          <w:sz w:val="20"/>
          <w:szCs w:val="20"/>
          <w:lang w:val="en-US"/>
        </w:rPr>
        <w:t xml:space="preserve"> Institute of Crystallography, Russian Academy of Sciences</w:t>
      </w:r>
    </w:p>
    <w:p w:rsidR="004B3478" w:rsidRPr="004B3478" w:rsidRDefault="004B3478" w:rsidP="001B37AB">
      <w:pPr>
        <w:spacing w:after="0" w:line="240" w:lineRule="auto"/>
        <w:jc w:val="both"/>
        <w:rPr>
          <w:rFonts w:ascii="Times New Roman" w:hAnsi="Times New Roman" w:cs="Times New Roman"/>
          <w:sz w:val="20"/>
          <w:szCs w:val="20"/>
          <w:lang w:val="en-US"/>
        </w:rPr>
      </w:pPr>
      <w:proofErr w:type="spellStart"/>
      <w:r w:rsidRPr="004B3478">
        <w:rPr>
          <w:rFonts w:ascii="Times New Roman" w:hAnsi="Times New Roman" w:cs="Times New Roman"/>
          <w:sz w:val="20"/>
          <w:szCs w:val="20"/>
          <w:lang w:val="en-US"/>
        </w:rPr>
        <w:t>Leninskii</w:t>
      </w:r>
      <w:proofErr w:type="spellEnd"/>
      <w:r w:rsidRPr="004B3478">
        <w:rPr>
          <w:rFonts w:ascii="Times New Roman" w:hAnsi="Times New Roman" w:cs="Times New Roman"/>
          <w:sz w:val="20"/>
          <w:szCs w:val="20"/>
          <w:lang w:val="en-US"/>
        </w:rPr>
        <w:t xml:space="preserve">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9E61E8"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890735" w:history="1">
            <w:r w:rsidR="009E61E8" w:rsidRPr="00640F6F">
              <w:rPr>
                <w:rStyle w:val="Hyperlink"/>
                <w:noProof/>
              </w:rPr>
              <w:t>Abstract</w:t>
            </w:r>
            <w:r w:rsidR="009E61E8">
              <w:rPr>
                <w:noProof/>
                <w:webHidden/>
              </w:rPr>
              <w:tab/>
            </w:r>
            <w:r w:rsidR="009E61E8">
              <w:rPr>
                <w:noProof/>
                <w:webHidden/>
              </w:rPr>
              <w:fldChar w:fldCharType="begin"/>
            </w:r>
            <w:r w:rsidR="009E61E8">
              <w:rPr>
                <w:noProof/>
                <w:webHidden/>
              </w:rPr>
              <w:instrText xml:space="preserve"> PAGEREF _Toc493890735 \h </w:instrText>
            </w:r>
            <w:r w:rsidR="009E61E8">
              <w:rPr>
                <w:noProof/>
                <w:webHidden/>
              </w:rPr>
            </w:r>
            <w:r w:rsidR="009E61E8">
              <w:rPr>
                <w:noProof/>
                <w:webHidden/>
              </w:rPr>
              <w:fldChar w:fldCharType="separate"/>
            </w:r>
            <w:r w:rsidR="009E61E8">
              <w:rPr>
                <w:noProof/>
                <w:webHidden/>
              </w:rPr>
              <w:t>4</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36" w:history="1">
            <w:r w:rsidR="009E61E8" w:rsidRPr="00640F6F">
              <w:rPr>
                <w:rStyle w:val="Hyperlink"/>
                <w:noProof/>
              </w:rPr>
              <w:t>Keywords</w:t>
            </w:r>
            <w:r w:rsidR="009E61E8">
              <w:rPr>
                <w:noProof/>
                <w:webHidden/>
              </w:rPr>
              <w:tab/>
            </w:r>
            <w:r w:rsidR="009E61E8">
              <w:rPr>
                <w:noProof/>
                <w:webHidden/>
              </w:rPr>
              <w:fldChar w:fldCharType="begin"/>
            </w:r>
            <w:r w:rsidR="009E61E8">
              <w:rPr>
                <w:noProof/>
                <w:webHidden/>
              </w:rPr>
              <w:instrText xml:space="preserve"> PAGEREF _Toc493890736 \h </w:instrText>
            </w:r>
            <w:r w:rsidR="009E61E8">
              <w:rPr>
                <w:noProof/>
                <w:webHidden/>
              </w:rPr>
            </w:r>
            <w:r w:rsidR="009E61E8">
              <w:rPr>
                <w:noProof/>
                <w:webHidden/>
              </w:rPr>
              <w:fldChar w:fldCharType="separate"/>
            </w:r>
            <w:r w:rsidR="009E61E8">
              <w:rPr>
                <w:noProof/>
                <w:webHidden/>
              </w:rPr>
              <w:t>4</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37" w:history="1">
            <w:r w:rsidR="009E61E8" w:rsidRPr="00640F6F">
              <w:rPr>
                <w:rStyle w:val="Hyperlink"/>
                <w:noProof/>
              </w:rPr>
              <w:t>Introduction</w:t>
            </w:r>
            <w:r w:rsidR="009E61E8">
              <w:rPr>
                <w:noProof/>
                <w:webHidden/>
              </w:rPr>
              <w:tab/>
            </w:r>
            <w:r w:rsidR="009E61E8">
              <w:rPr>
                <w:noProof/>
                <w:webHidden/>
              </w:rPr>
              <w:fldChar w:fldCharType="begin"/>
            </w:r>
            <w:r w:rsidR="009E61E8">
              <w:rPr>
                <w:noProof/>
                <w:webHidden/>
              </w:rPr>
              <w:instrText xml:space="preserve"> PAGEREF _Toc493890737 \h </w:instrText>
            </w:r>
            <w:r w:rsidR="009E61E8">
              <w:rPr>
                <w:noProof/>
                <w:webHidden/>
              </w:rPr>
            </w:r>
            <w:r w:rsidR="009E61E8">
              <w:rPr>
                <w:noProof/>
                <w:webHidden/>
              </w:rPr>
              <w:fldChar w:fldCharType="separate"/>
            </w:r>
            <w:r w:rsidR="009E61E8">
              <w:rPr>
                <w:noProof/>
                <w:webHidden/>
              </w:rPr>
              <w:t>5</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38" w:history="1">
            <w:r w:rsidR="009E61E8" w:rsidRPr="00640F6F">
              <w:rPr>
                <w:rStyle w:val="Hyperlink"/>
                <w:noProof/>
              </w:rPr>
              <w:t>Definitions</w:t>
            </w:r>
            <w:r w:rsidR="009E61E8">
              <w:rPr>
                <w:noProof/>
                <w:webHidden/>
              </w:rPr>
              <w:tab/>
            </w:r>
            <w:r w:rsidR="009E61E8">
              <w:rPr>
                <w:noProof/>
                <w:webHidden/>
              </w:rPr>
              <w:fldChar w:fldCharType="begin"/>
            </w:r>
            <w:r w:rsidR="009E61E8">
              <w:rPr>
                <w:noProof/>
                <w:webHidden/>
              </w:rPr>
              <w:instrText xml:space="preserve"> PAGEREF _Toc493890738 \h </w:instrText>
            </w:r>
            <w:r w:rsidR="009E61E8">
              <w:rPr>
                <w:noProof/>
                <w:webHidden/>
              </w:rPr>
            </w:r>
            <w:r w:rsidR="009E61E8">
              <w:rPr>
                <w:noProof/>
                <w:webHidden/>
              </w:rPr>
              <w:fldChar w:fldCharType="separate"/>
            </w:r>
            <w:r w:rsidR="009E61E8">
              <w:rPr>
                <w:noProof/>
                <w:webHidden/>
              </w:rPr>
              <w:t>6</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39" w:history="1">
            <w:r w:rsidR="009E61E8" w:rsidRPr="00640F6F">
              <w:rPr>
                <w:rStyle w:val="Hyperlink"/>
                <w:noProof/>
              </w:rPr>
              <w:t>"Closure" of models</w:t>
            </w:r>
            <w:r w:rsidR="009E61E8">
              <w:rPr>
                <w:noProof/>
                <w:webHidden/>
              </w:rPr>
              <w:tab/>
            </w:r>
            <w:r w:rsidR="009E61E8">
              <w:rPr>
                <w:noProof/>
                <w:webHidden/>
              </w:rPr>
              <w:fldChar w:fldCharType="begin"/>
            </w:r>
            <w:r w:rsidR="009E61E8">
              <w:rPr>
                <w:noProof/>
                <w:webHidden/>
              </w:rPr>
              <w:instrText xml:space="preserve"> PAGEREF _Toc493890739 \h </w:instrText>
            </w:r>
            <w:r w:rsidR="009E61E8">
              <w:rPr>
                <w:noProof/>
                <w:webHidden/>
              </w:rPr>
            </w:r>
            <w:r w:rsidR="009E61E8">
              <w:rPr>
                <w:noProof/>
                <w:webHidden/>
              </w:rPr>
              <w:fldChar w:fldCharType="separate"/>
            </w:r>
            <w:r w:rsidR="009E61E8">
              <w:rPr>
                <w:noProof/>
                <w:webHidden/>
              </w:rPr>
              <w:t>7</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40" w:history="1">
            <w:r w:rsidR="009E61E8" w:rsidRPr="00640F6F">
              <w:rPr>
                <w:rStyle w:val="Hyperlink"/>
                <w:noProof/>
              </w:rPr>
              <w:t>Averaging of enantioselectivity in catalytic models</w:t>
            </w:r>
            <w:r w:rsidR="009E61E8">
              <w:rPr>
                <w:noProof/>
                <w:webHidden/>
              </w:rPr>
              <w:tab/>
            </w:r>
            <w:r w:rsidR="009E61E8">
              <w:rPr>
                <w:noProof/>
                <w:webHidden/>
              </w:rPr>
              <w:fldChar w:fldCharType="begin"/>
            </w:r>
            <w:r w:rsidR="009E61E8">
              <w:rPr>
                <w:noProof/>
                <w:webHidden/>
              </w:rPr>
              <w:instrText xml:space="preserve"> PAGEREF _Toc493890740 \h </w:instrText>
            </w:r>
            <w:r w:rsidR="009E61E8">
              <w:rPr>
                <w:noProof/>
                <w:webHidden/>
              </w:rPr>
            </w:r>
            <w:r w:rsidR="009E61E8">
              <w:rPr>
                <w:noProof/>
                <w:webHidden/>
              </w:rPr>
              <w:fldChar w:fldCharType="separate"/>
            </w:r>
            <w:r w:rsidR="009E61E8">
              <w:rPr>
                <w:noProof/>
                <w:webHidden/>
              </w:rPr>
              <w:t>8</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41" w:history="1">
            <w:r w:rsidR="009E61E8" w:rsidRPr="00640F6F">
              <w:rPr>
                <w:rStyle w:val="Hyperlink"/>
                <w:noProof/>
              </w:rPr>
              <w:t>Models with peptides up to length 5, catalytic synthesis, and crystallization of insoluble pair</w:t>
            </w:r>
            <w:r w:rsidR="009E61E8">
              <w:rPr>
                <w:noProof/>
                <w:webHidden/>
              </w:rPr>
              <w:tab/>
            </w:r>
            <w:r w:rsidR="009E61E8">
              <w:rPr>
                <w:noProof/>
                <w:webHidden/>
              </w:rPr>
              <w:fldChar w:fldCharType="begin"/>
            </w:r>
            <w:r w:rsidR="009E61E8">
              <w:rPr>
                <w:noProof/>
                <w:webHidden/>
              </w:rPr>
              <w:instrText xml:space="preserve"> PAGEREF _Toc493890741 \h </w:instrText>
            </w:r>
            <w:r w:rsidR="009E61E8">
              <w:rPr>
                <w:noProof/>
                <w:webHidden/>
              </w:rPr>
            </w:r>
            <w:r w:rsidR="009E61E8">
              <w:rPr>
                <w:noProof/>
                <w:webHidden/>
              </w:rPr>
              <w:fldChar w:fldCharType="separate"/>
            </w:r>
            <w:r w:rsidR="009E61E8">
              <w:rPr>
                <w:noProof/>
                <w:webHidden/>
              </w:rPr>
              <w:t>9</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42" w:history="1">
            <w:r w:rsidR="009E61E8" w:rsidRPr="00640F6F">
              <w:rPr>
                <w:rStyle w:val="Hyperlink"/>
                <w:noProof/>
              </w:rPr>
              <w:t>Reversible synthesis of amino acids</w:t>
            </w:r>
            <w:r w:rsidR="009E61E8">
              <w:rPr>
                <w:noProof/>
                <w:webHidden/>
              </w:rPr>
              <w:tab/>
            </w:r>
            <w:r w:rsidR="009E61E8">
              <w:rPr>
                <w:noProof/>
                <w:webHidden/>
              </w:rPr>
              <w:fldChar w:fldCharType="begin"/>
            </w:r>
            <w:r w:rsidR="009E61E8">
              <w:rPr>
                <w:noProof/>
                <w:webHidden/>
              </w:rPr>
              <w:instrText xml:space="preserve"> PAGEREF _Toc493890742 \h </w:instrText>
            </w:r>
            <w:r w:rsidR="009E61E8">
              <w:rPr>
                <w:noProof/>
                <w:webHidden/>
              </w:rPr>
            </w:r>
            <w:r w:rsidR="009E61E8">
              <w:rPr>
                <w:noProof/>
                <w:webHidden/>
              </w:rPr>
              <w:fldChar w:fldCharType="separate"/>
            </w:r>
            <w:r w:rsidR="009E61E8">
              <w:rPr>
                <w:noProof/>
                <w:webHidden/>
              </w:rPr>
              <w:t>10</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43" w:history="1">
            <w:r w:rsidR="009E61E8" w:rsidRPr="00640F6F">
              <w:rPr>
                <w:rStyle w:val="Hyperlink"/>
                <w:noProof/>
              </w:rPr>
              <w:t>Catalytic synthesis of amino acids</w:t>
            </w:r>
            <w:r w:rsidR="009E61E8">
              <w:rPr>
                <w:noProof/>
                <w:webHidden/>
              </w:rPr>
              <w:tab/>
            </w:r>
            <w:r w:rsidR="009E61E8">
              <w:rPr>
                <w:noProof/>
                <w:webHidden/>
              </w:rPr>
              <w:fldChar w:fldCharType="begin"/>
            </w:r>
            <w:r w:rsidR="009E61E8">
              <w:rPr>
                <w:noProof/>
                <w:webHidden/>
              </w:rPr>
              <w:instrText xml:space="preserve"> PAGEREF _Toc493890743 \h </w:instrText>
            </w:r>
            <w:r w:rsidR="009E61E8">
              <w:rPr>
                <w:noProof/>
                <w:webHidden/>
              </w:rPr>
            </w:r>
            <w:r w:rsidR="009E61E8">
              <w:rPr>
                <w:noProof/>
                <w:webHidden/>
              </w:rPr>
              <w:fldChar w:fldCharType="separate"/>
            </w:r>
            <w:r w:rsidR="009E61E8">
              <w:rPr>
                <w:noProof/>
                <w:webHidden/>
              </w:rPr>
              <w:t>11</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44" w:history="1">
            <w:r w:rsidR="009E61E8" w:rsidRPr="00640F6F">
              <w:rPr>
                <w:rStyle w:val="Hyperlink"/>
                <w:noProof/>
              </w:rPr>
              <w:t>Activation</w:t>
            </w:r>
            <w:r w:rsidR="009E61E8">
              <w:rPr>
                <w:noProof/>
                <w:webHidden/>
              </w:rPr>
              <w:tab/>
            </w:r>
            <w:r w:rsidR="009E61E8">
              <w:rPr>
                <w:noProof/>
                <w:webHidden/>
              </w:rPr>
              <w:fldChar w:fldCharType="begin"/>
            </w:r>
            <w:r w:rsidR="009E61E8">
              <w:rPr>
                <w:noProof/>
                <w:webHidden/>
              </w:rPr>
              <w:instrText xml:space="preserve"> PAGEREF _Toc493890744 \h </w:instrText>
            </w:r>
            <w:r w:rsidR="009E61E8">
              <w:rPr>
                <w:noProof/>
                <w:webHidden/>
              </w:rPr>
            </w:r>
            <w:r w:rsidR="009E61E8">
              <w:rPr>
                <w:noProof/>
                <w:webHidden/>
              </w:rPr>
              <w:fldChar w:fldCharType="separate"/>
            </w:r>
            <w:r w:rsidR="009E61E8">
              <w:rPr>
                <w:noProof/>
                <w:webHidden/>
              </w:rPr>
              <w:t>12</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45" w:history="1">
            <w:r w:rsidR="009E61E8" w:rsidRPr="00640F6F">
              <w:rPr>
                <w:rStyle w:val="Hyperlink"/>
                <w:noProof/>
              </w:rPr>
              <w:t>Polymerization / Depolymerization</w:t>
            </w:r>
            <w:r w:rsidR="009E61E8">
              <w:rPr>
                <w:noProof/>
                <w:webHidden/>
              </w:rPr>
              <w:tab/>
            </w:r>
            <w:r w:rsidR="009E61E8">
              <w:rPr>
                <w:noProof/>
                <w:webHidden/>
              </w:rPr>
              <w:fldChar w:fldCharType="begin"/>
            </w:r>
            <w:r w:rsidR="009E61E8">
              <w:rPr>
                <w:noProof/>
                <w:webHidden/>
              </w:rPr>
              <w:instrText xml:space="preserve"> PAGEREF _Toc493890745 \h </w:instrText>
            </w:r>
            <w:r w:rsidR="009E61E8">
              <w:rPr>
                <w:noProof/>
                <w:webHidden/>
              </w:rPr>
            </w:r>
            <w:r w:rsidR="009E61E8">
              <w:rPr>
                <w:noProof/>
                <w:webHidden/>
              </w:rPr>
              <w:fldChar w:fldCharType="separate"/>
            </w:r>
            <w:r w:rsidR="009E61E8">
              <w:rPr>
                <w:noProof/>
                <w:webHidden/>
              </w:rPr>
              <w:t>12</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46" w:history="1">
            <w:r w:rsidR="009E61E8" w:rsidRPr="00640F6F">
              <w:rPr>
                <w:rStyle w:val="Hyperlink"/>
                <w:noProof/>
              </w:rPr>
              <w:t>Sedimentation of insoluble pairs</w:t>
            </w:r>
            <w:r w:rsidR="009E61E8">
              <w:rPr>
                <w:noProof/>
                <w:webHidden/>
              </w:rPr>
              <w:tab/>
            </w:r>
            <w:r w:rsidR="009E61E8">
              <w:rPr>
                <w:noProof/>
                <w:webHidden/>
              </w:rPr>
              <w:fldChar w:fldCharType="begin"/>
            </w:r>
            <w:r w:rsidR="009E61E8">
              <w:rPr>
                <w:noProof/>
                <w:webHidden/>
              </w:rPr>
              <w:instrText xml:space="preserve"> PAGEREF _Toc493890746 \h </w:instrText>
            </w:r>
            <w:r w:rsidR="009E61E8">
              <w:rPr>
                <w:noProof/>
                <w:webHidden/>
              </w:rPr>
            </w:r>
            <w:r w:rsidR="009E61E8">
              <w:rPr>
                <w:noProof/>
                <w:webHidden/>
              </w:rPr>
              <w:fldChar w:fldCharType="separate"/>
            </w:r>
            <w:r w:rsidR="009E61E8">
              <w:rPr>
                <w:noProof/>
                <w:webHidden/>
              </w:rPr>
              <w:t>13</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47" w:history="1">
            <w:r w:rsidR="009E61E8" w:rsidRPr="00640F6F">
              <w:rPr>
                <w:rStyle w:val="Hyperlink"/>
                <w:noProof/>
              </w:rPr>
              <w:t>Classes of considered models</w:t>
            </w:r>
            <w:r w:rsidR="009E61E8">
              <w:rPr>
                <w:noProof/>
                <w:webHidden/>
              </w:rPr>
              <w:tab/>
            </w:r>
            <w:r w:rsidR="009E61E8">
              <w:rPr>
                <w:noProof/>
                <w:webHidden/>
              </w:rPr>
              <w:fldChar w:fldCharType="begin"/>
            </w:r>
            <w:r w:rsidR="009E61E8">
              <w:rPr>
                <w:noProof/>
                <w:webHidden/>
              </w:rPr>
              <w:instrText xml:space="preserve"> PAGEREF _Toc493890747 \h </w:instrText>
            </w:r>
            <w:r w:rsidR="009E61E8">
              <w:rPr>
                <w:noProof/>
                <w:webHidden/>
              </w:rPr>
            </w:r>
            <w:r w:rsidR="009E61E8">
              <w:rPr>
                <w:noProof/>
                <w:webHidden/>
              </w:rPr>
              <w:fldChar w:fldCharType="separate"/>
            </w:r>
            <w:r w:rsidR="009E61E8">
              <w:rPr>
                <w:noProof/>
                <w:webHidden/>
              </w:rPr>
              <w:t>14</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48" w:history="1">
            <w:r w:rsidR="009E61E8" w:rsidRPr="00640F6F">
              <w:rPr>
                <w:rStyle w:val="Hyperlink"/>
                <w:noProof/>
              </w:rPr>
              <w:t>Solution method</w:t>
            </w:r>
            <w:r w:rsidR="009E61E8">
              <w:rPr>
                <w:noProof/>
                <w:webHidden/>
              </w:rPr>
              <w:tab/>
            </w:r>
            <w:r w:rsidR="009E61E8">
              <w:rPr>
                <w:noProof/>
                <w:webHidden/>
              </w:rPr>
              <w:fldChar w:fldCharType="begin"/>
            </w:r>
            <w:r w:rsidR="009E61E8">
              <w:rPr>
                <w:noProof/>
                <w:webHidden/>
              </w:rPr>
              <w:instrText xml:space="preserve"> PAGEREF _Toc493890748 \h </w:instrText>
            </w:r>
            <w:r w:rsidR="009E61E8">
              <w:rPr>
                <w:noProof/>
                <w:webHidden/>
              </w:rPr>
            </w:r>
            <w:r w:rsidR="009E61E8">
              <w:rPr>
                <w:noProof/>
                <w:webHidden/>
              </w:rPr>
              <w:fldChar w:fldCharType="separate"/>
            </w:r>
            <w:r w:rsidR="009E61E8">
              <w:rPr>
                <w:noProof/>
                <w:webHidden/>
              </w:rPr>
              <w:t>14</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49" w:history="1">
            <w:r w:rsidR="009E61E8" w:rsidRPr="00640F6F">
              <w:rPr>
                <w:rStyle w:val="Hyperlink"/>
                <w:noProof/>
              </w:rPr>
              <w:t>Symmetry breaking in the models with peptides up to length 5, catalytic synthesis of amino acids and simplified sedimentation</w:t>
            </w:r>
            <w:r w:rsidR="009E61E8">
              <w:rPr>
                <w:noProof/>
                <w:webHidden/>
              </w:rPr>
              <w:tab/>
            </w:r>
            <w:r w:rsidR="009E61E8">
              <w:rPr>
                <w:noProof/>
                <w:webHidden/>
              </w:rPr>
              <w:fldChar w:fldCharType="begin"/>
            </w:r>
            <w:r w:rsidR="009E61E8">
              <w:rPr>
                <w:noProof/>
                <w:webHidden/>
              </w:rPr>
              <w:instrText xml:space="preserve"> PAGEREF _Toc493890749 \h </w:instrText>
            </w:r>
            <w:r w:rsidR="009E61E8">
              <w:rPr>
                <w:noProof/>
                <w:webHidden/>
              </w:rPr>
            </w:r>
            <w:r w:rsidR="009E61E8">
              <w:rPr>
                <w:noProof/>
                <w:webHidden/>
              </w:rPr>
              <w:fldChar w:fldCharType="separate"/>
            </w:r>
            <w:r w:rsidR="009E61E8">
              <w:rPr>
                <w:noProof/>
                <w:webHidden/>
              </w:rPr>
              <w:t>14</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50" w:history="1">
            <w:r w:rsidR="009E61E8" w:rsidRPr="00640F6F">
              <w:rPr>
                <w:rStyle w:val="Hyperlink"/>
                <w:noProof/>
              </w:rPr>
              <w:t>Symmetry breaking without catalytic synthesis</w:t>
            </w:r>
            <w:r w:rsidR="009E61E8">
              <w:rPr>
                <w:noProof/>
                <w:webHidden/>
              </w:rPr>
              <w:tab/>
            </w:r>
            <w:r w:rsidR="009E61E8">
              <w:rPr>
                <w:noProof/>
                <w:webHidden/>
              </w:rPr>
              <w:fldChar w:fldCharType="begin"/>
            </w:r>
            <w:r w:rsidR="009E61E8">
              <w:rPr>
                <w:noProof/>
                <w:webHidden/>
              </w:rPr>
              <w:instrText xml:space="preserve"> PAGEREF _Toc493890750 \h </w:instrText>
            </w:r>
            <w:r w:rsidR="009E61E8">
              <w:rPr>
                <w:noProof/>
                <w:webHidden/>
              </w:rPr>
            </w:r>
            <w:r w:rsidR="009E61E8">
              <w:rPr>
                <w:noProof/>
                <w:webHidden/>
              </w:rPr>
              <w:fldChar w:fldCharType="separate"/>
            </w:r>
            <w:r w:rsidR="009E61E8">
              <w:rPr>
                <w:noProof/>
                <w:webHidden/>
              </w:rPr>
              <w:t>16</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51" w:history="1">
            <w:r w:rsidR="009E61E8" w:rsidRPr="00640F6F">
              <w:rPr>
                <w:rStyle w:val="Hyperlink"/>
                <w:noProof/>
              </w:rPr>
              <w:t>Symmetry breaking in the presence of weakly enantioselective forward catalytic synthesis</w:t>
            </w:r>
            <w:r w:rsidR="009E61E8">
              <w:rPr>
                <w:noProof/>
                <w:webHidden/>
              </w:rPr>
              <w:tab/>
            </w:r>
            <w:r w:rsidR="009E61E8">
              <w:rPr>
                <w:noProof/>
                <w:webHidden/>
              </w:rPr>
              <w:fldChar w:fldCharType="begin"/>
            </w:r>
            <w:r w:rsidR="009E61E8">
              <w:rPr>
                <w:noProof/>
                <w:webHidden/>
              </w:rPr>
              <w:instrText xml:space="preserve"> PAGEREF _Toc493890751 \h </w:instrText>
            </w:r>
            <w:r w:rsidR="009E61E8">
              <w:rPr>
                <w:noProof/>
                <w:webHidden/>
              </w:rPr>
            </w:r>
            <w:r w:rsidR="009E61E8">
              <w:rPr>
                <w:noProof/>
                <w:webHidden/>
              </w:rPr>
              <w:fldChar w:fldCharType="separate"/>
            </w:r>
            <w:r w:rsidR="009E61E8">
              <w:rPr>
                <w:noProof/>
                <w:webHidden/>
              </w:rPr>
              <w:t>19</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52" w:history="1">
            <w:r w:rsidR="009E61E8" w:rsidRPr="00640F6F">
              <w:rPr>
                <w:rStyle w:val="Hyperlink"/>
                <w:noProof/>
              </w:rPr>
              <w:t>Symmetry breaking in epimerization based models</w:t>
            </w:r>
            <w:r w:rsidR="009E61E8">
              <w:rPr>
                <w:noProof/>
                <w:webHidden/>
              </w:rPr>
              <w:tab/>
            </w:r>
            <w:r w:rsidR="009E61E8">
              <w:rPr>
                <w:noProof/>
                <w:webHidden/>
              </w:rPr>
              <w:fldChar w:fldCharType="begin"/>
            </w:r>
            <w:r w:rsidR="009E61E8">
              <w:rPr>
                <w:noProof/>
                <w:webHidden/>
              </w:rPr>
              <w:instrText xml:space="preserve"> PAGEREF _Toc493890752 \h </w:instrText>
            </w:r>
            <w:r w:rsidR="009E61E8">
              <w:rPr>
                <w:noProof/>
                <w:webHidden/>
              </w:rPr>
            </w:r>
            <w:r w:rsidR="009E61E8">
              <w:rPr>
                <w:noProof/>
                <w:webHidden/>
              </w:rPr>
              <w:fldChar w:fldCharType="separate"/>
            </w:r>
            <w:r w:rsidR="009E61E8">
              <w:rPr>
                <w:noProof/>
                <w:webHidden/>
              </w:rPr>
              <w:t>22</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53" w:history="1">
            <w:r w:rsidR="009E61E8" w:rsidRPr="00640F6F">
              <w:rPr>
                <w:rStyle w:val="Hyperlink"/>
                <w:noProof/>
              </w:rPr>
              <w:t>Symmetry breaking in APED models in the presence of sedimentation</w:t>
            </w:r>
            <w:r w:rsidR="009E61E8">
              <w:rPr>
                <w:noProof/>
                <w:webHidden/>
              </w:rPr>
              <w:tab/>
            </w:r>
            <w:r w:rsidR="009E61E8">
              <w:rPr>
                <w:noProof/>
                <w:webHidden/>
              </w:rPr>
              <w:fldChar w:fldCharType="begin"/>
            </w:r>
            <w:r w:rsidR="009E61E8">
              <w:rPr>
                <w:noProof/>
                <w:webHidden/>
              </w:rPr>
              <w:instrText xml:space="preserve"> PAGEREF _Toc493890753 \h </w:instrText>
            </w:r>
            <w:r w:rsidR="009E61E8">
              <w:rPr>
                <w:noProof/>
                <w:webHidden/>
              </w:rPr>
            </w:r>
            <w:r w:rsidR="009E61E8">
              <w:rPr>
                <w:noProof/>
                <w:webHidden/>
              </w:rPr>
              <w:fldChar w:fldCharType="separate"/>
            </w:r>
            <w:r w:rsidR="009E61E8">
              <w:rPr>
                <w:noProof/>
                <w:webHidden/>
              </w:rPr>
              <w:t>26</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54" w:history="1">
            <w:r w:rsidR="009E61E8" w:rsidRPr="00640F6F">
              <w:rPr>
                <w:rStyle w:val="Hyperlink"/>
                <w:noProof/>
              </w:rPr>
              <w:t>Symmetry breaking in the models with peptides up to length 3, catalytic synthesis of amino acids, pair formation and Noyes – Whitney sedimentation</w:t>
            </w:r>
            <w:r w:rsidR="009E61E8">
              <w:rPr>
                <w:noProof/>
                <w:webHidden/>
              </w:rPr>
              <w:tab/>
            </w:r>
            <w:r w:rsidR="009E61E8">
              <w:rPr>
                <w:noProof/>
                <w:webHidden/>
              </w:rPr>
              <w:fldChar w:fldCharType="begin"/>
            </w:r>
            <w:r w:rsidR="009E61E8">
              <w:rPr>
                <w:noProof/>
                <w:webHidden/>
              </w:rPr>
              <w:instrText xml:space="preserve"> PAGEREF _Toc493890754 \h </w:instrText>
            </w:r>
            <w:r w:rsidR="009E61E8">
              <w:rPr>
                <w:noProof/>
                <w:webHidden/>
              </w:rPr>
            </w:r>
            <w:r w:rsidR="009E61E8">
              <w:rPr>
                <w:noProof/>
                <w:webHidden/>
              </w:rPr>
              <w:fldChar w:fldCharType="separate"/>
            </w:r>
            <w:r w:rsidR="009E61E8">
              <w:rPr>
                <w:noProof/>
                <w:webHidden/>
              </w:rPr>
              <w:t>27</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55" w:history="1">
            <w:r w:rsidR="009E61E8" w:rsidRPr="00640F6F">
              <w:rPr>
                <w:rStyle w:val="Hyperlink"/>
                <w:noProof/>
              </w:rPr>
              <w:t>Proposed Experiment</w:t>
            </w:r>
            <w:r w:rsidR="009E61E8">
              <w:rPr>
                <w:noProof/>
                <w:webHidden/>
              </w:rPr>
              <w:tab/>
            </w:r>
            <w:r w:rsidR="009E61E8">
              <w:rPr>
                <w:noProof/>
                <w:webHidden/>
              </w:rPr>
              <w:fldChar w:fldCharType="begin"/>
            </w:r>
            <w:r w:rsidR="009E61E8">
              <w:rPr>
                <w:noProof/>
                <w:webHidden/>
              </w:rPr>
              <w:instrText xml:space="preserve"> PAGEREF _Toc493890755 \h </w:instrText>
            </w:r>
            <w:r w:rsidR="009E61E8">
              <w:rPr>
                <w:noProof/>
                <w:webHidden/>
              </w:rPr>
            </w:r>
            <w:r w:rsidR="009E61E8">
              <w:rPr>
                <w:noProof/>
                <w:webHidden/>
              </w:rPr>
              <w:fldChar w:fldCharType="separate"/>
            </w:r>
            <w:r w:rsidR="009E61E8">
              <w:rPr>
                <w:noProof/>
                <w:webHidden/>
              </w:rPr>
              <w:t>27</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56" w:history="1">
            <w:r w:rsidR="009E61E8" w:rsidRPr="00640F6F">
              <w:rPr>
                <w:rStyle w:val="Hyperlink"/>
                <w:noProof/>
              </w:rPr>
              <w:t>Conclusion</w:t>
            </w:r>
            <w:r w:rsidR="009E61E8">
              <w:rPr>
                <w:noProof/>
                <w:webHidden/>
              </w:rPr>
              <w:tab/>
            </w:r>
            <w:r w:rsidR="009E61E8">
              <w:rPr>
                <w:noProof/>
                <w:webHidden/>
              </w:rPr>
              <w:fldChar w:fldCharType="begin"/>
            </w:r>
            <w:r w:rsidR="009E61E8">
              <w:rPr>
                <w:noProof/>
                <w:webHidden/>
              </w:rPr>
              <w:instrText xml:space="preserve"> PAGEREF _Toc493890756 \h </w:instrText>
            </w:r>
            <w:r w:rsidR="009E61E8">
              <w:rPr>
                <w:noProof/>
                <w:webHidden/>
              </w:rPr>
            </w:r>
            <w:r w:rsidR="009E61E8">
              <w:rPr>
                <w:noProof/>
                <w:webHidden/>
              </w:rPr>
              <w:fldChar w:fldCharType="separate"/>
            </w:r>
            <w:r w:rsidR="009E61E8">
              <w:rPr>
                <w:noProof/>
                <w:webHidden/>
              </w:rPr>
              <w:t>29</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57" w:history="1">
            <w:r w:rsidR="009E61E8" w:rsidRPr="00640F6F">
              <w:rPr>
                <w:rStyle w:val="Hyperlink"/>
                <w:noProof/>
              </w:rPr>
              <w:t>References</w:t>
            </w:r>
            <w:r w:rsidR="009E61E8">
              <w:rPr>
                <w:noProof/>
                <w:webHidden/>
              </w:rPr>
              <w:tab/>
            </w:r>
            <w:r w:rsidR="009E61E8">
              <w:rPr>
                <w:noProof/>
                <w:webHidden/>
              </w:rPr>
              <w:fldChar w:fldCharType="begin"/>
            </w:r>
            <w:r w:rsidR="009E61E8">
              <w:rPr>
                <w:noProof/>
                <w:webHidden/>
              </w:rPr>
              <w:instrText xml:space="preserve"> PAGEREF _Toc493890757 \h </w:instrText>
            </w:r>
            <w:r w:rsidR="009E61E8">
              <w:rPr>
                <w:noProof/>
                <w:webHidden/>
              </w:rPr>
            </w:r>
            <w:r w:rsidR="009E61E8">
              <w:rPr>
                <w:noProof/>
                <w:webHidden/>
              </w:rPr>
              <w:fldChar w:fldCharType="separate"/>
            </w:r>
            <w:r w:rsidR="009E61E8">
              <w:rPr>
                <w:noProof/>
                <w:webHidden/>
              </w:rPr>
              <w:t>30</w:t>
            </w:r>
            <w:r w:rsidR="009E61E8">
              <w:rPr>
                <w:noProof/>
                <w:webHidden/>
              </w:rPr>
              <w:fldChar w:fldCharType="end"/>
            </w:r>
          </w:hyperlink>
        </w:p>
        <w:p w:rsidR="009E61E8" w:rsidRDefault="0004620E">
          <w:pPr>
            <w:pStyle w:val="TOC1"/>
            <w:tabs>
              <w:tab w:val="right" w:leader="dot" w:pos="10070"/>
            </w:tabs>
            <w:rPr>
              <w:rFonts w:eastAsiaTheme="minorEastAsia"/>
              <w:noProof/>
              <w:lang w:val="en-US"/>
            </w:rPr>
          </w:pPr>
          <w:hyperlink w:anchor="_Toc493890758" w:history="1">
            <w:r w:rsidR="009E61E8" w:rsidRPr="00640F6F">
              <w:rPr>
                <w:rStyle w:val="Hyperlink"/>
                <w:noProof/>
              </w:rPr>
              <w:t>Supplementary Materials</w:t>
            </w:r>
            <w:r w:rsidR="009E61E8">
              <w:rPr>
                <w:noProof/>
                <w:webHidden/>
              </w:rPr>
              <w:tab/>
            </w:r>
            <w:r w:rsidR="009E61E8">
              <w:rPr>
                <w:noProof/>
                <w:webHidden/>
              </w:rPr>
              <w:fldChar w:fldCharType="begin"/>
            </w:r>
            <w:r w:rsidR="009E61E8">
              <w:rPr>
                <w:noProof/>
                <w:webHidden/>
              </w:rPr>
              <w:instrText xml:space="preserve"> PAGEREF _Toc493890758 \h </w:instrText>
            </w:r>
            <w:r w:rsidR="009E61E8">
              <w:rPr>
                <w:noProof/>
                <w:webHidden/>
              </w:rPr>
            </w:r>
            <w:r w:rsidR="009E61E8">
              <w:rPr>
                <w:noProof/>
                <w:webHidden/>
              </w:rPr>
              <w:fldChar w:fldCharType="separate"/>
            </w:r>
            <w:r w:rsidR="009E61E8">
              <w:rPr>
                <w:noProof/>
                <w:webHidden/>
              </w:rPr>
              <w:t>32</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59" w:history="1">
            <w:r w:rsidR="009E61E8" w:rsidRPr="00640F6F">
              <w:rPr>
                <w:rStyle w:val="Hyperlink"/>
                <w:noProof/>
              </w:rPr>
              <w:t>Source code</w:t>
            </w:r>
            <w:r w:rsidR="009E61E8">
              <w:rPr>
                <w:noProof/>
                <w:webHidden/>
              </w:rPr>
              <w:tab/>
            </w:r>
            <w:r w:rsidR="009E61E8">
              <w:rPr>
                <w:noProof/>
                <w:webHidden/>
              </w:rPr>
              <w:fldChar w:fldCharType="begin"/>
            </w:r>
            <w:r w:rsidR="009E61E8">
              <w:rPr>
                <w:noProof/>
                <w:webHidden/>
              </w:rPr>
              <w:instrText xml:space="preserve"> PAGEREF _Toc493890759 \h </w:instrText>
            </w:r>
            <w:r w:rsidR="009E61E8">
              <w:rPr>
                <w:noProof/>
                <w:webHidden/>
              </w:rPr>
            </w:r>
            <w:r w:rsidR="009E61E8">
              <w:rPr>
                <w:noProof/>
                <w:webHidden/>
              </w:rPr>
              <w:fldChar w:fldCharType="separate"/>
            </w:r>
            <w:r w:rsidR="009E61E8">
              <w:rPr>
                <w:noProof/>
                <w:webHidden/>
              </w:rPr>
              <w:t>32</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60" w:history="1">
            <w:r w:rsidR="009E61E8" w:rsidRPr="00640F6F">
              <w:rPr>
                <w:rStyle w:val="Hyperlink"/>
                <w:noProof/>
              </w:rPr>
              <w:t>Main results of the article</w:t>
            </w:r>
            <w:r w:rsidR="009E61E8">
              <w:rPr>
                <w:noProof/>
                <w:webHidden/>
              </w:rPr>
              <w:tab/>
            </w:r>
            <w:r w:rsidR="009E61E8">
              <w:rPr>
                <w:noProof/>
                <w:webHidden/>
              </w:rPr>
              <w:fldChar w:fldCharType="begin"/>
            </w:r>
            <w:r w:rsidR="009E61E8">
              <w:rPr>
                <w:noProof/>
                <w:webHidden/>
              </w:rPr>
              <w:instrText xml:space="preserve"> PAGEREF _Toc493890760 \h </w:instrText>
            </w:r>
            <w:r w:rsidR="009E61E8">
              <w:rPr>
                <w:noProof/>
                <w:webHidden/>
              </w:rPr>
            </w:r>
            <w:r w:rsidR="009E61E8">
              <w:rPr>
                <w:noProof/>
                <w:webHidden/>
              </w:rPr>
              <w:fldChar w:fldCharType="separate"/>
            </w:r>
            <w:r w:rsidR="009E61E8">
              <w:rPr>
                <w:noProof/>
                <w:webHidden/>
              </w:rPr>
              <w:t>32</w:t>
            </w:r>
            <w:r w:rsidR="009E61E8">
              <w:rPr>
                <w:noProof/>
                <w:webHidden/>
              </w:rPr>
              <w:fldChar w:fldCharType="end"/>
            </w:r>
          </w:hyperlink>
        </w:p>
        <w:p w:rsidR="009E61E8" w:rsidRDefault="0004620E">
          <w:pPr>
            <w:pStyle w:val="TOC2"/>
            <w:tabs>
              <w:tab w:val="right" w:leader="dot" w:pos="10070"/>
            </w:tabs>
            <w:rPr>
              <w:rFonts w:eastAsiaTheme="minorEastAsia"/>
              <w:noProof/>
              <w:lang w:val="en-US"/>
            </w:rPr>
          </w:pPr>
          <w:hyperlink w:anchor="_Toc493890761" w:history="1">
            <w:r w:rsidR="009E61E8" w:rsidRPr="00640F6F">
              <w:rPr>
                <w:rStyle w:val="Hyperlink"/>
                <w:noProof/>
              </w:rPr>
              <w:t>Naming and Folder conventions</w:t>
            </w:r>
            <w:r w:rsidR="009E61E8">
              <w:rPr>
                <w:noProof/>
                <w:webHidden/>
              </w:rPr>
              <w:tab/>
            </w:r>
            <w:r w:rsidR="009E61E8">
              <w:rPr>
                <w:noProof/>
                <w:webHidden/>
              </w:rPr>
              <w:fldChar w:fldCharType="begin"/>
            </w:r>
            <w:r w:rsidR="009E61E8">
              <w:rPr>
                <w:noProof/>
                <w:webHidden/>
              </w:rPr>
              <w:instrText xml:space="preserve"> PAGEREF _Toc493890761 \h </w:instrText>
            </w:r>
            <w:r w:rsidR="009E61E8">
              <w:rPr>
                <w:noProof/>
                <w:webHidden/>
              </w:rPr>
            </w:r>
            <w:r w:rsidR="009E61E8">
              <w:rPr>
                <w:noProof/>
                <w:webHidden/>
              </w:rPr>
              <w:fldChar w:fldCharType="separate"/>
            </w:r>
            <w:r w:rsidR="009E61E8">
              <w:rPr>
                <w:noProof/>
                <w:webHidden/>
              </w:rPr>
              <w:t>33</w:t>
            </w:r>
            <w:r w:rsidR="009E61E8">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0" w:name="_Toc493890735"/>
      <w:r w:rsidRPr="00CA6505">
        <w:lastRenderedPageBreak/>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w:t>
      </w:r>
      <w:proofErr w:type="gramStart"/>
      <w:r w:rsidR="00200684">
        <w:rPr>
          <w:rFonts w:ascii="Times New Roman" w:hAnsi="Times New Roman" w:cs="Times New Roman"/>
          <w:sz w:val="20"/>
          <w:szCs w:val="20"/>
          <w:lang w:val="en-US"/>
        </w:rPr>
        <w:t>a</w:t>
      </w:r>
      <w:r w:rsidRPr="00CA6505">
        <w:rPr>
          <w:rFonts w:ascii="Times New Roman" w:hAnsi="Times New Roman" w:cs="Times New Roman"/>
          <w:sz w:val="20"/>
          <w:szCs w:val="20"/>
          <w:lang w:val="en-US"/>
        </w:rPr>
        <w:t xml:space="preserve"> large number of</w:t>
      </w:r>
      <w:proofErr w:type="gramEnd"/>
      <w:r w:rsidRPr="00CA6505">
        <w:rPr>
          <w:rFonts w:ascii="Times New Roman" w:hAnsi="Times New Roman" w:cs="Times New Roman"/>
          <w:sz w:val="20"/>
          <w:szCs w:val="20"/>
          <w:lang w:val="en-US"/>
        </w:rPr>
        <w:t xml:space="preserve">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E3DF8" w:rsidRPr="00CA6505">
        <w:rPr>
          <w:rFonts w:ascii="Times New Roman" w:hAnsi="Times New Roman" w:cs="Times New Roman"/>
          <w:sz w:val="20"/>
          <w:szCs w:val="20"/>
          <w:lang w:val="en-US"/>
        </w:rPr>
        <w:t>“incorrect”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3890736"/>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3890737"/>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Avetisov</w:t>
      </w:r>
      <w:proofErr w:type="spellEnd"/>
      <w:r w:rsidR="001C26B3" w:rsidRPr="008A130A">
        <w:rPr>
          <w:rFonts w:ascii="Times New Roman" w:hAnsi="Times New Roman" w:cs="Times New Roman"/>
          <w:sz w:val="20"/>
          <w:szCs w:val="20"/>
          <w:lang w:val="en-US"/>
        </w:rPr>
        <w:t xml:space="preserve"> and </w:t>
      </w:r>
      <w:proofErr w:type="spellStart"/>
      <w:r w:rsidR="001C26B3" w:rsidRPr="008A130A">
        <w:rPr>
          <w:rFonts w:ascii="Times New Roman" w:hAnsi="Times New Roman" w:cs="Times New Roman"/>
          <w:sz w:val="20"/>
          <w:szCs w:val="20"/>
          <w:lang w:val="en-US"/>
        </w:rPr>
        <w:t>Goldanskii</w:t>
      </w:r>
      <w:proofErr w:type="spellEnd"/>
      <w:r w:rsidR="001C26B3" w:rsidRPr="008A130A">
        <w:rPr>
          <w:rFonts w:ascii="Times New Roman" w:hAnsi="Times New Roman" w:cs="Times New Roman"/>
          <w:sz w:val="20"/>
          <w:szCs w:val="20"/>
          <w:lang w:val="en-US"/>
        </w:rPr>
        <w:t xml:space="preserve">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Saito and </w:t>
      </w:r>
      <w:proofErr w:type="spellStart"/>
      <w:r w:rsidR="001C26B3" w:rsidRPr="008A130A">
        <w:rPr>
          <w:rFonts w:ascii="Times New Roman" w:hAnsi="Times New Roman" w:cs="Times New Roman"/>
          <w:sz w:val="20"/>
          <w:szCs w:val="20"/>
          <w:lang w:val="en-US"/>
        </w:rPr>
        <w:t>Hyuga</w:t>
      </w:r>
      <w:proofErr w:type="spellEnd"/>
      <w:r w:rsidR="001C26B3" w:rsidRPr="008A130A">
        <w:rPr>
          <w:rFonts w:ascii="Times New Roman" w:hAnsi="Times New Roman" w:cs="Times New Roman"/>
          <w:sz w:val="20"/>
          <w:szCs w:val="20"/>
          <w:lang w:val="en-US"/>
        </w:rPr>
        <w:t xml:space="preserve"> 2004;</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Weissbuch</w:t>
      </w:r>
      <w:proofErr w:type="spellEnd"/>
      <w:r w:rsidR="001C26B3" w:rsidRPr="009A07A5">
        <w:rPr>
          <w:rFonts w:ascii="Times New Roman" w:hAnsi="Times New Roman" w:cs="Times New Roman"/>
          <w:sz w:val="20"/>
          <w:szCs w:val="20"/>
          <w:lang w:val="en-US"/>
        </w:rPr>
        <w:t xml:space="preserve">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van der </w:t>
      </w:r>
      <w:proofErr w:type="spellStart"/>
      <w:r w:rsidR="001C26B3" w:rsidRPr="009A07A5">
        <w:rPr>
          <w:rFonts w:ascii="Times New Roman" w:hAnsi="Times New Roman" w:cs="Times New Roman"/>
          <w:sz w:val="20"/>
          <w:szCs w:val="20"/>
          <w:lang w:val="en-US"/>
        </w:rPr>
        <w:t>Meijden</w:t>
      </w:r>
      <w:proofErr w:type="spellEnd"/>
      <w:r w:rsidR="001C26B3" w:rsidRPr="009A07A5">
        <w:rPr>
          <w:rFonts w:ascii="Times New Roman" w:hAnsi="Times New Roman" w:cs="Times New Roman"/>
          <w:sz w:val="20"/>
          <w:szCs w:val="20"/>
          <w:lang w:val="en-US"/>
        </w:rPr>
        <w:t xml:space="preserve"> et al. 2009;</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Noorduin</w:t>
      </w:r>
      <w:proofErr w:type="spellEnd"/>
      <w:r w:rsidR="001C26B3" w:rsidRPr="009A07A5">
        <w:rPr>
          <w:rFonts w:ascii="Times New Roman" w:hAnsi="Times New Roman" w:cs="Times New Roman"/>
          <w:sz w:val="20"/>
          <w:szCs w:val="20"/>
          <w:lang w:val="en-US"/>
        </w:rPr>
        <w:t xml:space="preserve">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Blackmond 2011; </w:t>
      </w:r>
      <w:proofErr w:type="spellStart"/>
      <w:r w:rsidR="001C26B3" w:rsidRPr="009A07A5">
        <w:rPr>
          <w:rFonts w:ascii="Times New Roman" w:hAnsi="Times New Roman" w:cs="Times New Roman"/>
          <w:sz w:val="20"/>
          <w:szCs w:val="20"/>
          <w:lang w:val="en-US"/>
        </w:rPr>
        <w:t>Coveney</w:t>
      </w:r>
      <w:proofErr w:type="spellEnd"/>
      <w:r w:rsidR="001C26B3" w:rsidRPr="009A07A5">
        <w:rPr>
          <w:rFonts w:ascii="Times New Roman" w:hAnsi="Times New Roman" w:cs="Times New Roman"/>
          <w:sz w:val="20"/>
          <w:szCs w:val="20"/>
          <w:lang w:val="en-US"/>
        </w:rPr>
        <w:t xml:space="preserve">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Ribó</w:t>
      </w:r>
      <w:proofErr w:type="spellEnd"/>
      <w:r w:rsidR="001C26B3" w:rsidRPr="008A130A">
        <w:rPr>
          <w:rFonts w:ascii="Times New Roman" w:hAnsi="Times New Roman" w:cs="Times New Roman"/>
          <w:sz w:val="20"/>
          <w:szCs w:val="20"/>
          <w:lang w:val="en-US"/>
        </w:rPr>
        <w:t xml:space="preserve">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w:t>
      </w:r>
      <w:proofErr w:type="gramStart"/>
      <w:r w:rsidRPr="00CA6505">
        <w:rPr>
          <w:rFonts w:ascii="Times New Roman" w:hAnsi="Times New Roman" w:cs="Times New Roman"/>
          <w:sz w:val="20"/>
          <w:szCs w:val="20"/>
          <w:lang w:val="en-US"/>
        </w:rPr>
        <w:t>have to</w:t>
      </w:r>
      <w:proofErr w:type="gramEnd"/>
      <w:r w:rsidRPr="00CA6505">
        <w:rPr>
          <w:rFonts w:ascii="Times New Roman" w:hAnsi="Times New Roman" w:cs="Times New Roman"/>
          <w:sz w:val="20"/>
          <w:szCs w:val="20"/>
          <w:lang w:val="en-US"/>
        </w:rPr>
        <w:t xml:space="preserve">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proofErr w:type="spellStart"/>
      <w:r w:rsidR="004A1C29" w:rsidRPr="004F2A31">
        <w:rPr>
          <w:rFonts w:ascii="Times New Roman" w:hAnsi="Times New Roman" w:cs="Times New Roman"/>
          <w:sz w:val="20"/>
          <w:szCs w:val="20"/>
          <w:lang w:val="en-US"/>
        </w:rPr>
        <w:t>Avetisov</w:t>
      </w:r>
      <w:proofErr w:type="spellEnd"/>
      <w:r w:rsidR="004A1C29" w:rsidRPr="004F2A31">
        <w:rPr>
          <w:rFonts w:ascii="Times New Roman" w:hAnsi="Times New Roman" w:cs="Times New Roman"/>
          <w:sz w:val="20"/>
          <w:szCs w:val="20"/>
          <w:lang w:val="en-US"/>
        </w:rPr>
        <w:t xml:space="preserve"> and </w:t>
      </w:r>
      <w:proofErr w:type="spellStart"/>
      <w:r w:rsidR="004A1C29" w:rsidRPr="004F2A31">
        <w:rPr>
          <w:rFonts w:ascii="Times New Roman" w:hAnsi="Times New Roman" w:cs="Times New Roman"/>
          <w:sz w:val="20"/>
          <w:szCs w:val="20"/>
          <w:lang w:val="en-US"/>
        </w:rPr>
        <w:t>Goldanskii</w:t>
      </w:r>
      <w:proofErr w:type="spellEnd"/>
      <w:r w:rsidR="004A1C29" w:rsidRPr="004F2A31">
        <w:rPr>
          <w:rFonts w:ascii="Times New Roman" w:hAnsi="Times New Roman" w:cs="Times New Roman"/>
          <w:sz w:val="20"/>
          <w:szCs w:val="20"/>
          <w:lang w:val="en-US"/>
        </w:rPr>
        <w:t xml:space="preserve">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and in addition often require a “mutual antagonism”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proofErr w:type="spellStart"/>
      <w:r w:rsidR="00353C89" w:rsidRPr="00543302">
        <w:rPr>
          <w:rFonts w:ascii="Times New Roman" w:hAnsi="Times New Roman" w:cs="Times New Roman"/>
          <w:sz w:val="20"/>
          <w:szCs w:val="20"/>
          <w:lang w:val="en-US"/>
        </w:rPr>
        <w:t>Weissbuch</w:t>
      </w:r>
      <w:proofErr w:type="spellEnd"/>
      <w:r w:rsidR="00353C89" w:rsidRPr="00543302">
        <w:rPr>
          <w:rFonts w:ascii="Times New Roman" w:hAnsi="Times New Roman" w:cs="Times New Roman"/>
          <w:sz w:val="20"/>
          <w:szCs w:val="20"/>
          <w:lang w:val="en-US"/>
        </w:rPr>
        <w:t xml:space="preserve">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 xml:space="preserve">Hein et al. 2012; van der </w:t>
      </w:r>
      <w:proofErr w:type="spellStart"/>
      <w:r w:rsidR="000572FB" w:rsidRPr="002C5DC8">
        <w:rPr>
          <w:rFonts w:ascii="Times New Roman" w:hAnsi="Times New Roman" w:cs="Times New Roman"/>
          <w:sz w:val="20"/>
          <w:szCs w:val="20"/>
          <w:lang w:val="en-US"/>
        </w:rPr>
        <w:t>Meijden</w:t>
      </w:r>
      <w:proofErr w:type="spellEnd"/>
      <w:r w:rsidR="000572FB" w:rsidRPr="002C5DC8">
        <w:rPr>
          <w:rFonts w:ascii="Times New Roman" w:hAnsi="Times New Roman" w:cs="Times New Roman"/>
          <w:sz w:val="20"/>
          <w:szCs w:val="20"/>
          <w:lang w:val="en-US"/>
        </w:rPr>
        <w:t xml:space="preserve"> et al. 2009;</w:t>
      </w:r>
      <w:r w:rsidR="000572FB">
        <w:rPr>
          <w:rFonts w:ascii="Times New Roman" w:hAnsi="Times New Roman" w:cs="Times New Roman"/>
          <w:sz w:val="20"/>
          <w:szCs w:val="20"/>
          <w:lang w:val="en-US"/>
        </w:rPr>
        <w:t xml:space="preserve"> </w:t>
      </w:r>
      <w:proofErr w:type="spellStart"/>
      <w:r w:rsidR="000572FB" w:rsidRPr="002C5DC8">
        <w:rPr>
          <w:rFonts w:ascii="Times New Roman" w:hAnsi="Times New Roman" w:cs="Times New Roman"/>
          <w:sz w:val="20"/>
          <w:szCs w:val="20"/>
          <w:lang w:val="en-US"/>
        </w:rPr>
        <w:t>Noorduin</w:t>
      </w:r>
      <w:proofErr w:type="spellEnd"/>
      <w:r w:rsidR="000572FB" w:rsidRPr="002C5DC8">
        <w:rPr>
          <w:rFonts w:ascii="Times New Roman" w:hAnsi="Times New Roman" w:cs="Times New Roman"/>
          <w:sz w:val="20"/>
          <w:szCs w:val="20"/>
          <w:lang w:val="en-US"/>
        </w:rPr>
        <w:t xml:space="preserve">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proofErr w:type="gramStart"/>
      <w:r w:rsidRPr="00CA6505">
        <w:rPr>
          <w:rFonts w:ascii="Times New Roman" w:hAnsi="Times New Roman" w:cs="Times New Roman"/>
          <w:sz w:val="20"/>
          <w:szCs w:val="20"/>
          <w:lang w:val="en-US"/>
        </w:rPr>
        <w:t>In order to</w:t>
      </w:r>
      <w:proofErr w:type="gramEnd"/>
      <w:r w:rsidRPr="00CA6505">
        <w:rPr>
          <w:rFonts w:ascii="Times New Roman" w:hAnsi="Times New Roman" w:cs="Times New Roman"/>
          <w:sz w:val="20"/>
          <w:szCs w:val="20"/>
          <w:lang w:val="en-US"/>
        </w:rPr>
        <w:t xml:space="preserve"> have chiral symmetry breaking, autocatalytic models </w:t>
      </w:r>
      <w:r w:rsidR="008A7A68">
        <w:rPr>
          <w:rFonts w:ascii="Times New Roman" w:hAnsi="Times New Roman" w:cs="Times New Roman"/>
          <w:sz w:val="20"/>
          <w:szCs w:val="20"/>
          <w:lang w:val="en-US"/>
        </w:rPr>
        <w:t>(</w:t>
      </w:r>
      <w:proofErr w:type="spellStart"/>
      <w:r w:rsidR="008A7A68">
        <w:rPr>
          <w:rFonts w:ascii="Times New Roman" w:hAnsi="Times New Roman" w:cs="Times New Roman"/>
          <w:sz w:val="20"/>
          <w:szCs w:val="20"/>
          <w:lang w:val="en-US"/>
        </w:rPr>
        <w:t>Avetisov</w:t>
      </w:r>
      <w:proofErr w:type="spellEnd"/>
      <w:r w:rsidR="008A7A68">
        <w:rPr>
          <w:rFonts w:ascii="Times New Roman" w:hAnsi="Times New Roman" w:cs="Times New Roman"/>
          <w:sz w:val="20"/>
          <w:szCs w:val="20"/>
          <w:lang w:val="en-US"/>
        </w:rPr>
        <w:t xml:space="preserve"> and </w:t>
      </w:r>
      <w:proofErr w:type="spellStart"/>
      <w:r w:rsidR="008A7A68">
        <w:rPr>
          <w:rFonts w:ascii="Times New Roman" w:hAnsi="Times New Roman" w:cs="Times New Roman"/>
          <w:sz w:val="20"/>
          <w:szCs w:val="20"/>
          <w:lang w:val="en-US"/>
        </w:rPr>
        <w:t>Goldanskii</w:t>
      </w:r>
      <w:proofErr w:type="spellEnd"/>
      <w:r w:rsidR="008A7A68">
        <w:rPr>
          <w:rFonts w:ascii="Times New Roman" w:hAnsi="Times New Roman" w:cs="Times New Roman"/>
          <w:sz w:val="20"/>
          <w:szCs w:val="20"/>
          <w:lang w:val="en-US"/>
        </w:rPr>
        <w:t xml:space="preserve"> 1996)</w:t>
      </w:r>
      <w:r w:rsidRPr="00CA6505">
        <w:rPr>
          <w:rFonts w:ascii="Times New Roman" w:hAnsi="Times New Roman" w:cs="Times New Roman"/>
          <w:sz w:val="20"/>
          <w:szCs w:val="20"/>
          <w:lang w:val="en-US"/>
        </w:rPr>
        <w:t xml:space="preserve"> require substantial enantioselectivity of a catalyst. This can be called “fine-tuning”</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“robust system”</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w:t>
      </w:r>
      <w:proofErr w:type="spellStart"/>
      <w:r w:rsidR="00831516">
        <w:rPr>
          <w:rFonts w:ascii="Times New Roman" w:hAnsi="Times New Roman" w:cs="Times New Roman"/>
          <w:sz w:val="20"/>
          <w:szCs w:val="20"/>
          <w:lang w:val="en-US"/>
        </w:rPr>
        <w:t>Iyer</w:t>
      </w:r>
      <w:proofErr w:type="spellEnd"/>
      <w:r w:rsidR="00831516">
        <w:rPr>
          <w:rFonts w:ascii="Times New Roman" w:hAnsi="Times New Roman" w:cs="Times New Roman"/>
          <w:sz w:val="20"/>
          <w:szCs w:val="20"/>
          <w:lang w:val="en-US"/>
        </w:rPr>
        <w:t xml:space="preserve">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proofErr w:type="gramStart"/>
      <w:r w:rsidR="00E667E1">
        <w:rPr>
          <w:rFonts w:ascii="Times New Roman" w:hAnsi="Times New Roman" w:cs="Times New Roman"/>
          <w:sz w:val="20"/>
          <w:szCs w:val="20"/>
          <w:lang w:val="en-US"/>
        </w:rPr>
        <w:t>in order to</w:t>
      </w:r>
      <w:proofErr w:type="gramEnd"/>
      <w:r w:rsidR="00E667E1">
        <w:rPr>
          <w:rFonts w:ascii="Times New Roman" w:hAnsi="Times New Roman" w:cs="Times New Roman"/>
          <w:sz w:val="20"/>
          <w:szCs w:val="20"/>
          <w:lang w:val="en-US"/>
        </w:rPr>
        <w:t xml:space="preserve">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w:t>
      </w:r>
      <w:proofErr w:type="gramStart"/>
      <w:r w:rsidRPr="00CA6505">
        <w:rPr>
          <w:rFonts w:ascii="Times New Roman" w:hAnsi="Times New Roman" w:cs="Times New Roman"/>
          <w:sz w:val="20"/>
          <w:szCs w:val="20"/>
          <w:lang w:val="en-US"/>
        </w:rPr>
        <w:t>similar to</w:t>
      </w:r>
      <w:proofErr w:type="gramEnd"/>
      <w:r w:rsidRPr="00CA6505">
        <w:rPr>
          <w:rFonts w:ascii="Times New Roman" w:hAnsi="Times New Roman" w:cs="Times New Roman"/>
          <w:sz w:val="20"/>
          <w:szCs w:val="20"/>
          <w:lang w:val="en-US"/>
        </w:rPr>
        <w:t xml:space="preserve">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 xml:space="preserve">van der </w:t>
      </w:r>
      <w:proofErr w:type="spellStart"/>
      <w:r w:rsidR="00550F3D" w:rsidRPr="00D305CA">
        <w:rPr>
          <w:rFonts w:ascii="Times New Roman" w:hAnsi="Times New Roman" w:cs="Times New Roman"/>
          <w:sz w:val="20"/>
          <w:szCs w:val="20"/>
          <w:lang w:val="en-US"/>
        </w:rPr>
        <w:t>Meijden</w:t>
      </w:r>
      <w:proofErr w:type="spellEnd"/>
      <w:r w:rsidR="00550F3D" w:rsidRPr="00D305CA">
        <w:rPr>
          <w:rFonts w:ascii="Times New Roman" w:hAnsi="Times New Roman" w:cs="Times New Roman"/>
          <w:sz w:val="20"/>
          <w:szCs w:val="20"/>
          <w:lang w:val="en-US"/>
        </w:rPr>
        <w:t xml:space="preserve"> et al. 2009;</w:t>
      </w:r>
      <w:r w:rsidR="00550F3D">
        <w:rPr>
          <w:rFonts w:ascii="Times New Roman" w:hAnsi="Times New Roman" w:cs="Times New Roman"/>
          <w:sz w:val="20"/>
          <w:szCs w:val="20"/>
          <w:lang w:val="en-US"/>
        </w:rPr>
        <w:t xml:space="preserve"> </w:t>
      </w:r>
      <w:proofErr w:type="spellStart"/>
      <w:r w:rsidR="00550F3D" w:rsidRPr="00D305CA">
        <w:rPr>
          <w:rFonts w:ascii="Times New Roman" w:hAnsi="Times New Roman" w:cs="Times New Roman"/>
          <w:sz w:val="20"/>
          <w:szCs w:val="20"/>
          <w:lang w:val="en-US"/>
        </w:rPr>
        <w:t>Noorduin</w:t>
      </w:r>
      <w:proofErr w:type="spellEnd"/>
      <w:r w:rsidR="00550F3D" w:rsidRPr="00D305CA">
        <w:rPr>
          <w:rFonts w:ascii="Times New Roman" w:hAnsi="Times New Roman" w:cs="Times New Roman"/>
          <w:sz w:val="20"/>
          <w:szCs w:val="20"/>
          <w:lang w:val="en-US"/>
        </w:rPr>
        <w:t xml:space="preserve">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proofErr w:type="gramStart"/>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w:t>
      </w:r>
      <w:proofErr w:type="gramEnd"/>
      <w:r w:rsidRPr="00CA6505">
        <w:rPr>
          <w:rFonts w:ascii="Times New Roman" w:hAnsi="Times New Roman" w:cs="Times New Roman"/>
          <w:sz w:val="20"/>
          <w:szCs w:val="20"/>
          <w:lang w:val="en-US"/>
        </w:rPr>
        <w:t xml:space="preserve">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w:t>
      </w:r>
      <w:proofErr w:type="gramStart"/>
      <w:r w:rsidRPr="00CA6505">
        <w:rPr>
          <w:rFonts w:ascii="Times New Roman" w:hAnsi="Times New Roman" w:cs="Times New Roman"/>
          <w:sz w:val="20"/>
          <w:szCs w:val="20"/>
          <w:lang w:val="en-US"/>
        </w:rPr>
        <w:t>take into account</w:t>
      </w:r>
      <w:proofErr w:type="gramEnd"/>
      <w:r w:rsidRPr="00CA6505">
        <w:rPr>
          <w:rFonts w:ascii="Times New Roman" w:hAnsi="Times New Roman" w:cs="Times New Roman"/>
          <w:sz w:val="20"/>
          <w:szCs w:val="20"/>
          <w:lang w:val="en-US"/>
        </w:rPr>
        <w:t xml:space="preserve"> that amino acids may form longer peptide chains.</w:t>
      </w:r>
    </w:p>
    <w:p w:rsidR="00F9188F" w:rsidRPr="00CA6505" w:rsidRDefault="00F9188F" w:rsidP="00F9188F">
      <w:pPr>
        <w:pStyle w:val="Heading1"/>
      </w:pPr>
      <w:bookmarkStart w:id="3" w:name="_Toc493890738"/>
      <w:r>
        <w:t>Definitions</w:t>
      </w:r>
      <w:bookmarkEnd w:id="3"/>
    </w:p>
    <w:p w:rsidR="00F9188F" w:rsidRDefault="005A0964"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Current work considers large number of complex models, which, in turn have substantial number of parameters and /or various definitions. </w:t>
      </w:r>
      <w:r w:rsidRPr="005A0964">
        <w:rPr>
          <w:rFonts w:ascii="Times New Roman" w:hAnsi="Times New Roman" w:cs="Times New Roman"/>
          <w:sz w:val="20"/>
          <w:szCs w:val="20"/>
          <w:highlight w:val="magenta"/>
          <w:lang w:val="en-US"/>
        </w:rPr>
        <w:t>We assembled …. to simplify</w:t>
      </w:r>
      <w:r>
        <w:rPr>
          <w:rFonts w:ascii="Times New Roman" w:hAnsi="Times New Roman" w:cs="Times New Roman"/>
          <w:sz w:val="20"/>
          <w:szCs w:val="20"/>
          <w:lang w:val="en-US"/>
        </w:rPr>
        <w:t>.</w:t>
      </w:r>
    </w:p>
    <w:p w:rsidR="005A0964" w:rsidRPr="009160E9" w:rsidRDefault="0004620E"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Pr>
          <w:rFonts w:ascii="Times New Roman" w:eastAsiaTheme="minorEastAsia" w:hAnsi="Times New Roman" w:cs="Times New Roman"/>
          <w:sz w:val="20"/>
          <w:szCs w:val="20"/>
          <w:lang w:val="en-US"/>
        </w:rPr>
        <w:t xml:space="preserve"> – concentration of a substance </w:t>
      </w:r>
      <m:oMath>
        <m:r>
          <w:rPr>
            <w:rFonts w:ascii="Cambria Math" w:hAnsi="Cambria Math" w:cs="Times New Roman"/>
            <w:sz w:val="20"/>
            <w:szCs w:val="20"/>
          </w:rPr>
          <m:t>X</m:t>
        </m:r>
      </m:oMath>
    </w:p>
    <w:p w:rsidR="009160E9" w:rsidRPr="009160E9" w:rsidRDefault="0004620E" w:rsidP="00727BC6">
      <w:pPr>
        <w:pStyle w:val="ListParagraph"/>
        <w:numPr>
          <w:ilvl w:val="0"/>
          <w:numId w:val="15"/>
        </w:numPr>
        <w:jc w:val="both"/>
        <w:rPr>
          <w:rFonts w:ascii="Times New Roman"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Pr>
          <w:rFonts w:ascii="Times New Roman" w:eastAsiaTheme="minorEastAsia" w:hAnsi="Times New Roman" w:cs="Times New Roman"/>
          <w:sz w:val="20"/>
          <w:szCs w:val="20"/>
          <w:lang w:val="en-US"/>
        </w:rPr>
        <w:t xml:space="preserve"> – enantiomer of some chiral substance </w:t>
      </w:r>
      <m:oMath>
        <m:r>
          <w:rPr>
            <w:rFonts w:ascii="Cambria Math" w:hAnsi="Cambria Math" w:cs="Times New Roman"/>
            <w:sz w:val="20"/>
            <w:szCs w:val="20"/>
          </w:rPr>
          <m:t>X</m:t>
        </m:r>
      </m:oMath>
    </w:p>
    <w:p w:rsidR="009160E9" w:rsidRPr="009160E9" w:rsidRDefault="0004620E" w:rsidP="009160E9">
      <w:pPr>
        <w:pStyle w:val="ListParagraph"/>
        <w:numPr>
          <w:ilvl w:val="0"/>
          <w:numId w:val="15"/>
        </w:numPr>
        <w:jc w:val="both"/>
        <w:rPr>
          <w:rFonts w:ascii="Times New Roman" w:eastAsiaTheme="minorEastAsia" w:hAnsi="Times New Roman" w:cs="Times New Roman"/>
          <w:lang w:val="en-US"/>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oMath>
      <w:r w:rsidR="009160E9">
        <w:rPr>
          <w:rFonts w:ascii="Times New Roman" w:eastAsiaTheme="minorEastAsia" w:hAnsi="Times New Roman" w:cs="Times New Roman"/>
          <w:lang w:val="en-US"/>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oMath>
      <w:r w:rsidR="009160E9">
        <w:rPr>
          <w:rFonts w:ascii="Times New Roman" w:eastAsiaTheme="minorEastAsia" w:hAnsi="Times New Roman" w:cs="Times New Roman"/>
          <w:lang w:val="en-US"/>
        </w:rPr>
        <w:t xml:space="preserve"> variables. </w:t>
      </w:r>
      <w:r w:rsidR="009160E9" w:rsidRPr="009160E9">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9160E9">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9160E9">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9160E9">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9160E9">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CA6505" w:rsidTr="009E61E8">
        <w:tc>
          <w:tcPr>
            <w:tcW w:w="4626" w:type="pct"/>
            <w:vAlign w:val="center"/>
          </w:tcPr>
          <w:p w:rsidR="009160E9" w:rsidRPr="00CA6505" w:rsidRDefault="0004620E"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CA6505" w:rsidRDefault="009160E9" w:rsidP="009E61E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9160E9" w:rsidRPr="009160E9"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9160E9">
        <w:rPr>
          <w:rFonts w:ascii="Times New Roman" w:eastAsiaTheme="minorEastAsia" w:hAnsi="Times New Roman" w:cs="Times New Roman"/>
          <w:sz w:val="20"/>
          <w:szCs w:val="20"/>
          <w:lang w:val="en-US"/>
        </w:rPr>
        <w:t>When we consider peptide chains, we will use capital letters for left amino acids and small letters for right amino acids.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8F51AD" w:rsidTr="009E61E8">
        <w:tc>
          <w:tcPr>
            <w:tcW w:w="4626" w:type="pct"/>
            <w:vAlign w:val="center"/>
          </w:tcPr>
          <w:p w:rsidR="009160E9" w:rsidRPr="00CA6505" w:rsidRDefault="0004620E"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AbcD</m:t>
                    </m:r>
                  </m:e>
                </m:d>
                <m:r>
                  <w:rPr>
                    <w:rFonts w:ascii="Cambria Math" w:hAnsi="Cambria Math"/>
                  </w:rPr>
                  <m:t>=aBCd</m:t>
                </m:r>
              </m:oMath>
            </m:oMathPara>
          </w:p>
        </w:tc>
        <w:tc>
          <w:tcPr>
            <w:tcW w:w="374" w:type="pct"/>
            <w:vAlign w:val="center"/>
          </w:tcPr>
          <w:p w:rsidR="009160E9" w:rsidRPr="00CA6505" w:rsidRDefault="009160E9" w:rsidP="009E61E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9160E9" w:rsidRDefault="009160E9" w:rsidP="009160E9">
      <w:pPr>
        <w:pStyle w:val="ListParagraph"/>
        <w:jc w:val="both"/>
        <w:rPr>
          <w:rFonts w:ascii="Times New Roman" w:eastAsiaTheme="minorEastAsia" w:hAnsi="Times New Roman" w:cs="Times New Roman"/>
          <w:sz w:val="20"/>
          <w:szCs w:val="20"/>
          <w:lang w:val="en-US"/>
        </w:rPr>
      </w:pPr>
      <w:r w:rsidRPr="009160E9">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9160E9">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D</m:t>
        </m:r>
      </m:oMath>
      <w:r w:rsidRPr="009160E9">
        <w:rPr>
          <w:rFonts w:ascii="Times New Roman" w:eastAsiaTheme="minorEastAsia" w:hAnsi="Times New Roman" w:cs="Times New Roman"/>
          <w:sz w:val="20"/>
          <w:szCs w:val="20"/>
          <w:lang w:val="en-US"/>
        </w:rPr>
        <w:t xml:space="preserve"> are some left amino acids, </w:t>
      </w:r>
      <m:oMath>
        <m:r>
          <w:rPr>
            <w:rFonts w:ascii="Cambria Math" w:hAnsi="Cambria Math" w:cs="Times New Roman"/>
            <w:sz w:val="20"/>
            <w:szCs w:val="20"/>
          </w:rPr>
          <m:t>b</m:t>
        </m:r>
      </m:oMath>
      <w:r w:rsidRPr="009160E9">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c</m:t>
        </m:r>
      </m:oMath>
      <w:r w:rsidRPr="009160E9">
        <w:rPr>
          <w:rFonts w:ascii="Times New Roman" w:eastAsiaTheme="minorEastAsia" w:hAnsi="Times New Roman" w:cs="Times New Roman"/>
          <w:sz w:val="20"/>
          <w:szCs w:val="20"/>
          <w:lang w:val="en-US"/>
        </w:rPr>
        <w:t xml:space="preserve"> are some right amino acids (not related to standard one letter amino acid coding).</w:t>
      </w:r>
    </w:p>
    <w:p w:rsidR="009160E9" w:rsidRPr="009160E9" w:rsidRDefault="009160E9" w:rsidP="009160E9">
      <w:pPr>
        <w:pStyle w:val="ListParagraph"/>
        <w:jc w:val="both"/>
        <w:rPr>
          <w:rFonts w:ascii="Times New Roman" w:eastAsiaTheme="minorEastAsia" w:hAnsi="Times New Roman" w:cs="Times New Roman"/>
          <w:sz w:val="20"/>
          <w:szCs w:val="20"/>
          <w:lang w:val="en-US"/>
        </w:rPr>
      </w:pPr>
    </w:p>
    <w:p w:rsidR="009160E9" w:rsidRPr="00CA6505"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CA6505">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cs="Times New Roman"/>
            <w:sz w:val="20"/>
            <w:szCs w:val="20"/>
          </w:rPr>
          <m:t>AbcD</m:t>
        </m:r>
      </m:oMath>
      <w:r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D</m:t>
        </m:r>
      </m:oMath>
      <w:r w:rsidRPr="00CA6505">
        <w:rPr>
          <w:rFonts w:ascii="Times New Roman" w:eastAsiaTheme="minorEastAsia" w:hAnsi="Times New Roman" w:cs="Times New Roman"/>
          <w:sz w:val="20"/>
          <w:szCs w:val="20"/>
          <w:lang w:val="en-US"/>
        </w:rPr>
        <w:t xml:space="preserve"> are some left amino acids,</w:t>
      </w:r>
      <w:r>
        <w:rPr>
          <w:rFonts w:ascii="Times New Roman" w:eastAsiaTheme="minorEastAsia" w:hAnsi="Times New Roman" w:cs="Times New Roman"/>
          <w:sz w:val="20"/>
          <w:szCs w:val="20"/>
          <w:lang w:val="en-US"/>
        </w:rPr>
        <w:t xml:space="preserve"> and</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are some right amino acids</w:t>
      </w:r>
      <w:r>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as </w:t>
      </w:r>
      <w:r w:rsidRPr="00CA6505">
        <w:rPr>
          <w:rFonts w:ascii="Times New Roman" w:eastAsiaTheme="minorEastAsia" w:hAnsi="Times New Roman" w:cs="Times New Roman"/>
          <w:sz w:val="20"/>
          <w:szCs w:val="20"/>
          <w:lang w:val="en-US"/>
        </w:rPr>
        <w:t xml:space="preserve">an inverse of </w:t>
      </w:r>
      <m:oMath>
        <m:r>
          <w:rPr>
            <w:rFonts w:ascii="Cambria Math" w:hAnsi="Cambria Math" w:cs="Times New Roman"/>
            <w:sz w:val="20"/>
            <w:szCs w:val="20"/>
          </w:rPr>
          <m:t>P</m:t>
        </m:r>
      </m:oMath>
      <w:r w:rsidRPr="00CA6505">
        <w:rPr>
          <w:rFonts w:ascii="Times New Roman" w:eastAsiaTheme="minorEastAsia" w:hAnsi="Times New Roman" w:cs="Times New Roman"/>
          <w:sz w:val="20"/>
          <w:szCs w:val="20"/>
          <w:lang w:val="en-US"/>
        </w:rPr>
        <w:t>, which is a peptide chain in a reverse order</w:t>
      </w:r>
      <w:r>
        <w:rPr>
          <w:rFonts w:ascii="Times New Roman" w:eastAsiaTheme="minorEastAsia" w:hAnsi="Times New Roman" w:cs="Times New Roman"/>
          <w:sz w:val="20"/>
          <w:szCs w:val="20"/>
          <w:lang w:val="en-US"/>
        </w:rPr>
        <w:t>, for example:</w:t>
      </w:r>
      <w:r w:rsidRPr="00CA6505">
        <w:rPr>
          <w:rFonts w:ascii="Times New Roman" w:eastAsiaTheme="minorEastAsia"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9160E9" w:rsidRPr="00CA6505" w:rsidTr="009E61E8">
        <w:tc>
          <w:tcPr>
            <w:tcW w:w="4510" w:type="pct"/>
            <w:vAlign w:val="center"/>
          </w:tcPr>
          <w:p w:rsidR="009160E9" w:rsidRPr="00CA6505" w:rsidRDefault="0004620E"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AbcD</m:t>
                    </m:r>
                  </m:e>
                </m:d>
                <m:r>
                  <w:rPr>
                    <w:rFonts w:ascii="Cambria Math" w:hAnsi="Cambria Math"/>
                  </w:rPr>
                  <m:t>=DcbA</m:t>
                </m:r>
              </m:oMath>
            </m:oMathPara>
          </w:p>
        </w:tc>
        <w:tc>
          <w:tcPr>
            <w:tcW w:w="490" w:type="pct"/>
            <w:vAlign w:val="center"/>
          </w:tcPr>
          <w:p w:rsidR="009160E9" w:rsidRPr="00CA6505" w:rsidRDefault="009160E9" w:rsidP="009E61E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9160E9" w:rsidRDefault="009160E9" w:rsidP="001D010B">
      <w:pPr>
        <w:pStyle w:val="ListParagraph"/>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Some of the models, which we considered, are invariant to this inversion transformation of the equations.</w:t>
      </w:r>
    </w:p>
    <w:p w:rsidR="009E61E8" w:rsidRPr="00CA6505" w:rsidRDefault="009E61E8" w:rsidP="001D010B">
      <w:pPr>
        <w:pStyle w:val="ListParagraph"/>
        <w:jc w:val="both"/>
        <w:rPr>
          <w:rFonts w:ascii="Times New Roman" w:eastAsiaTheme="minorEastAsia" w:hAnsi="Times New Roman" w:cs="Times New Roman"/>
          <w:sz w:val="20"/>
          <w:szCs w:val="20"/>
          <w:lang w:val="en-US"/>
        </w:rPr>
      </w:pPr>
    </w:p>
    <w:p w:rsidR="009160E9" w:rsidRPr="00A40D6C" w:rsidRDefault="009160E9" w:rsidP="009160E9">
      <w:pPr>
        <w:pStyle w:val="ListParagraph"/>
        <w:numPr>
          <w:ilvl w:val="0"/>
          <w:numId w:val="15"/>
        </w:numPr>
        <w:jc w:val="both"/>
        <w:rPr>
          <w:rFonts w:ascii="Times New Roman" w:hAnsi="Times New Roman" w:cs="Times New Roman"/>
          <w:sz w:val="20"/>
          <w:szCs w:val="20"/>
          <w:lang w:val="en-US"/>
        </w:rPr>
      </w:pPr>
      <w:r w:rsidRPr="00A40D6C">
        <w:rPr>
          <w:rFonts w:ascii="Times New Roman" w:hAnsi="Times New Roman" w:cs="Times New Roman"/>
          <w:sz w:val="20"/>
          <w:szCs w:val="20"/>
          <w:lang w:val="en-US"/>
        </w:rPr>
        <w:t xml:space="preserve">We consider here that there is only one achiral (“food”) substance, which we denote as </w:t>
      </w:r>
      <m:oMath>
        <m:r>
          <w:rPr>
            <w:rFonts w:ascii="Cambria Math" w:hAnsi="Cambria Math" w:cs="Times New Roman"/>
            <w:sz w:val="20"/>
            <w:szCs w:val="20"/>
          </w:rPr>
          <m:t>Y</m:t>
        </m:r>
      </m:oMath>
      <w:r w:rsidRPr="00A40D6C">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A40D6C">
        <w:rPr>
          <w:rFonts w:ascii="Times New Roman" w:eastAsiaTheme="minorEastAsia" w:hAnsi="Times New Roman" w:cs="Times New Roman"/>
          <w:sz w:val="20"/>
          <w:szCs w:val="20"/>
          <w:lang w:val="en-US"/>
        </w:rPr>
        <w:t>.</w:t>
      </w:r>
    </w:p>
    <w:p w:rsidR="00407ADA" w:rsidRPr="00A40D6C" w:rsidRDefault="00407ADA" w:rsidP="009160E9">
      <w:pPr>
        <w:pStyle w:val="ListParagraph"/>
        <w:numPr>
          <w:ilvl w:val="0"/>
          <w:numId w:val="15"/>
        </w:numPr>
        <w:jc w:val="both"/>
        <w:rPr>
          <w:rFonts w:ascii="Times New Roman" w:hAnsi="Times New Roman" w:cs="Times New Roman"/>
          <w:sz w:val="20"/>
          <w:szCs w:val="20"/>
          <w:lang w:val="en-US"/>
        </w:rPr>
      </w:pPr>
      <w:r w:rsidRPr="00A40D6C">
        <w:rPr>
          <w:rFonts w:ascii="Times New Roman" w:hAnsi="Times New Roman" w:cs="Times New Roman"/>
          <w:sz w:val="20"/>
          <w:szCs w:val="20"/>
          <w:lang w:val="en-US"/>
        </w:rPr>
        <w:t xml:space="preserve">C – is a catalyst. </w:t>
      </w:r>
    </w:p>
    <w:p w:rsidR="00407ADA" w:rsidRPr="00A40D6C" w:rsidRDefault="00407ADA" w:rsidP="009160E9">
      <w:pPr>
        <w:pStyle w:val="ListParagraph"/>
        <w:numPr>
          <w:ilvl w:val="0"/>
          <w:numId w:val="15"/>
        </w:numPr>
        <w:jc w:val="both"/>
        <w:rPr>
          <w:rFonts w:ascii="Times New Roman" w:hAnsi="Times New Roman" w:cs="Times New Roman"/>
          <w:sz w:val="20"/>
          <w:szCs w:val="20"/>
          <w:lang w:val="en-US"/>
        </w:rPr>
      </w:pPr>
      <w:r w:rsidRPr="00A40D6C">
        <w:rPr>
          <w:rFonts w:ascii="Times New Roman" w:hAnsi="Times New Roman" w:cs="Times New Roman"/>
          <w:sz w:val="20"/>
          <w:szCs w:val="20"/>
          <w:lang w:val="en-US"/>
        </w:rPr>
        <w:t>Talk that only one amino acid</w:t>
      </w:r>
    </w:p>
    <w:p w:rsidR="009E61E8" w:rsidRPr="00A40D6C" w:rsidRDefault="009E61E8" w:rsidP="009160E9">
      <w:pPr>
        <w:pStyle w:val="ListParagraph"/>
        <w:numPr>
          <w:ilvl w:val="0"/>
          <w:numId w:val="15"/>
        </w:numPr>
        <w:jc w:val="both"/>
        <w:rPr>
          <w:rFonts w:ascii="Times New Roman" w:hAnsi="Times New Roman" w:cs="Times New Roman"/>
          <w:sz w:val="20"/>
          <w:szCs w:val="20"/>
          <w:lang w:val="en-US"/>
        </w:rPr>
      </w:pPr>
      <w:r w:rsidRPr="00A40D6C">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A40D6C">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A40D6C">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A40D6C">
        <w:rPr>
          <w:rFonts w:ascii="Times New Roman" w:eastAsiaTheme="minorEastAsia" w:hAnsi="Times New Roman" w:cs="Times New Roman"/>
          <w:sz w:val="20"/>
          <w:szCs w:val="20"/>
          <w:lang w:val="en-US"/>
        </w:rPr>
        <w:t xml:space="preserve"> is the rate of 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A40D6C">
        <w:rPr>
          <w:rFonts w:ascii="Times New Roman" w:eastAsiaTheme="minorEastAsia" w:hAnsi="Times New Roman" w:cs="Times New Roman"/>
          <w:sz w:val="20"/>
          <w:szCs w:val="20"/>
          <w:lang w:val="en-US"/>
        </w:rPr>
        <w:t>.</w:t>
      </w:r>
    </w:p>
    <w:p w:rsidR="00F42FD5" w:rsidRPr="00A40D6C" w:rsidRDefault="00833490" w:rsidP="0072045E">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A40D6C">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A40D6C">
        <w:rPr>
          <w:rFonts w:ascii="Times New Roman" w:eastAsiaTheme="minorEastAsia" w:hAnsi="Times New Roman" w:cs="Times New Roman"/>
          <w:sz w:val="20"/>
          <w:szCs w:val="20"/>
          <w:lang w:val="en-US"/>
        </w:rPr>
        <w:t xml:space="preserve"> – rated of forward and backward amino acid synthesis reactions</w:t>
      </w:r>
    </w:p>
    <w:p w:rsidR="00F56881" w:rsidRPr="00A40D6C" w:rsidRDefault="00F56881"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Pr="00A40D6C">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A40D6C">
        <w:rPr>
          <w:rFonts w:ascii="Times New Roman" w:eastAsiaTheme="minorEastAsia" w:hAnsi="Times New Roman" w:cs="Times New Roman"/>
          <w:sz w:val="20"/>
          <w:szCs w:val="20"/>
          <w:lang w:val="en-US"/>
        </w:rPr>
        <w:t xml:space="preserve"> – rates of forward and backward activation reactions (when used).</w:t>
      </w:r>
    </w:p>
    <w:p w:rsidR="00D86393" w:rsidRPr="00A40D6C" w:rsidRDefault="00D86393"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Pr="00A40D6C">
        <w:rPr>
          <w:rFonts w:ascii="Times New Roman" w:eastAsiaTheme="minorEastAsia" w:hAnsi="Times New Roman" w:cs="Times New Roman"/>
          <w:sz w:val="20"/>
          <w:szCs w:val="20"/>
          <w:lang w:val="en-US"/>
        </w:rPr>
        <w:t xml:space="preserve"> is</w:t>
      </w:r>
      <w:r w:rsidR="00AF1A66" w:rsidRPr="00A40D6C">
        <w:rPr>
          <w:rFonts w:ascii="Times New Roman" w:eastAsiaTheme="minorEastAsia" w:hAnsi="Times New Roman" w:cs="Times New Roman"/>
          <w:sz w:val="20"/>
          <w:szCs w:val="20"/>
          <w:lang w:val="en-US"/>
        </w:rPr>
        <w:t xml:space="preserve"> total rate of forward catalytic synthesis of amino acid in the presence of a catalyst </w:t>
      </w:r>
      <m:oMath>
        <m:r>
          <w:rPr>
            <w:rFonts w:ascii="Cambria Math" w:hAnsi="Cambria Math"/>
            <w:sz w:val="20"/>
            <w:szCs w:val="20"/>
          </w:rPr>
          <m:t>C</m:t>
        </m:r>
      </m:oMath>
      <w:r w:rsidR="00AF1A66" w:rsidRPr="00A40D6C">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Pr="00A40D6C">
        <w:rPr>
          <w:rFonts w:ascii="Times New Roman" w:eastAsiaTheme="minorEastAsia" w:hAnsi="Times New Roman" w:cs="Times New Roman"/>
          <w:sz w:val="20"/>
          <w:szCs w:val="20"/>
          <w:lang w:val="en-US"/>
        </w:rPr>
        <w:t>.</w:t>
      </w:r>
    </w:p>
    <w:p w:rsidR="00D86393" w:rsidRPr="00A40D6C" w:rsidRDefault="00D86393"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Pr="00A40D6C">
        <w:rPr>
          <w:rFonts w:ascii="Times New Roman" w:eastAsiaTheme="minorEastAsia" w:hAnsi="Times New Roman" w:cs="Times New Roman"/>
          <w:sz w:val="20"/>
          <w:szCs w:val="20"/>
          <w:lang w:val="en-US"/>
        </w:rPr>
        <w:t xml:space="preserve"> </w:t>
      </w:r>
      <w:r w:rsidR="00875085" w:rsidRPr="00A40D6C">
        <w:rPr>
          <w:rFonts w:ascii="Times New Roman" w:eastAsiaTheme="minorEastAsia" w:hAnsi="Times New Roman" w:cs="Times New Roman"/>
          <w:sz w:val="20"/>
          <w:szCs w:val="20"/>
          <w:lang w:val="en-US"/>
        </w:rPr>
        <w:t xml:space="preserve">is total rate of </w:t>
      </w:r>
      <w:r w:rsidR="00875085" w:rsidRPr="00A40D6C">
        <w:rPr>
          <w:rFonts w:ascii="Times New Roman" w:eastAsiaTheme="minorEastAsia" w:hAnsi="Times New Roman" w:cs="Times New Roman"/>
          <w:sz w:val="20"/>
          <w:szCs w:val="20"/>
          <w:lang w:val="en-US"/>
        </w:rPr>
        <w:t>backward</w:t>
      </w:r>
      <w:r w:rsidR="00875085" w:rsidRPr="00A40D6C">
        <w:rPr>
          <w:rFonts w:ascii="Times New Roman" w:eastAsiaTheme="minorEastAsia" w:hAnsi="Times New Roman" w:cs="Times New Roman"/>
          <w:sz w:val="20"/>
          <w:szCs w:val="20"/>
          <w:lang w:val="en-US"/>
        </w:rPr>
        <w:t xml:space="preserve"> catalytic synthesis of amino acid in the presence of a catalyst </w:t>
      </w:r>
      <m:oMath>
        <m:r>
          <w:rPr>
            <w:rFonts w:ascii="Cambria Math" w:hAnsi="Cambria Math"/>
            <w:sz w:val="20"/>
            <w:szCs w:val="20"/>
          </w:rPr>
          <m:t>C</m:t>
        </m:r>
      </m:oMath>
      <w:r w:rsidR="00875085" w:rsidRPr="00A40D6C">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A40D6C" w:rsidRDefault="008B27CC"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Pr="00A40D6C">
        <w:rPr>
          <w:rFonts w:ascii="Times New Roman" w:eastAsiaTheme="minorEastAsia" w:hAnsi="Times New Roman" w:cs="Times New Roman"/>
          <w:sz w:val="20"/>
          <w:szCs w:val="20"/>
          <w:lang w:val="en-US"/>
        </w:rPr>
        <w:t xml:space="preserve"> is</w:t>
      </w:r>
      <w:r w:rsidR="00A86381" w:rsidRPr="00A40D6C">
        <w:rPr>
          <w:rFonts w:ascii="Times New Roman" w:eastAsiaTheme="minorEastAsia" w:hAnsi="Times New Roman" w:cs="Times New Roman"/>
          <w:sz w:val="20"/>
          <w:szCs w:val="20"/>
          <w:lang w:val="en-US"/>
        </w:rPr>
        <w:t xml:space="preserve"> enantioselective of forward catalytic synthesis of amino acid</w:t>
      </w:r>
      <w:r w:rsidRPr="00A40D6C">
        <w:rPr>
          <w:rFonts w:ascii="Times New Roman" w:eastAsiaTheme="minorEastAsia" w:hAnsi="Times New Roman" w:cs="Times New Roman"/>
          <w:sz w:val="20"/>
          <w:szCs w:val="20"/>
          <w:lang w:val="en-US"/>
        </w:rPr>
        <w:t>.</w:t>
      </w:r>
      <w:bookmarkStart w:id="4" w:name="_GoBack"/>
      <w:bookmarkEnd w:id="4"/>
    </w:p>
    <w:p w:rsidR="008B27CC" w:rsidRPr="00A40D6C" w:rsidRDefault="008B27CC"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Pr="00A40D6C">
        <w:rPr>
          <w:rFonts w:ascii="Times New Roman" w:eastAsiaTheme="minorEastAsia" w:hAnsi="Times New Roman" w:cs="Times New Roman"/>
          <w:sz w:val="20"/>
          <w:szCs w:val="20"/>
          <w:lang w:val="en-US"/>
        </w:rPr>
        <w:t xml:space="preserve"> is</w:t>
      </w:r>
      <w:r w:rsidR="00A86381" w:rsidRPr="00A40D6C">
        <w:rPr>
          <w:rFonts w:ascii="Times New Roman" w:eastAsiaTheme="minorEastAsia" w:hAnsi="Times New Roman" w:cs="Times New Roman"/>
          <w:sz w:val="20"/>
          <w:szCs w:val="20"/>
          <w:lang w:val="en-US"/>
        </w:rPr>
        <w:t xml:space="preserve"> </w:t>
      </w:r>
      <w:r w:rsidR="00A86381" w:rsidRPr="00A40D6C">
        <w:rPr>
          <w:rFonts w:ascii="Times New Roman" w:eastAsiaTheme="minorEastAsia" w:hAnsi="Times New Roman" w:cs="Times New Roman"/>
          <w:sz w:val="20"/>
          <w:szCs w:val="20"/>
          <w:lang w:val="en-US"/>
        </w:rPr>
        <w:t xml:space="preserve">enantioselective of </w:t>
      </w:r>
      <w:r w:rsidR="00A86381" w:rsidRPr="00A40D6C">
        <w:rPr>
          <w:rFonts w:ascii="Times New Roman" w:eastAsiaTheme="minorEastAsia" w:hAnsi="Times New Roman" w:cs="Times New Roman"/>
          <w:sz w:val="20"/>
          <w:szCs w:val="20"/>
          <w:lang w:val="en-US"/>
        </w:rPr>
        <w:t>backward</w:t>
      </w:r>
      <w:r w:rsidR="00A86381" w:rsidRPr="00A40D6C">
        <w:rPr>
          <w:rFonts w:ascii="Times New Roman" w:eastAsiaTheme="minorEastAsia" w:hAnsi="Times New Roman" w:cs="Times New Roman"/>
          <w:sz w:val="20"/>
          <w:szCs w:val="20"/>
          <w:lang w:val="en-US"/>
        </w:rPr>
        <w:t xml:space="preserve"> catalytic synthesis of amino acid</w:t>
      </w:r>
      <w:r w:rsidRPr="00A40D6C">
        <w:rPr>
          <w:rFonts w:ascii="Times New Roman" w:eastAsiaTheme="minorEastAsia" w:hAnsi="Times New Roman" w:cs="Times New Roman"/>
          <w:sz w:val="20"/>
          <w:szCs w:val="20"/>
          <w:lang w:val="en-US"/>
        </w:rPr>
        <w:t>.</w:t>
      </w:r>
    </w:p>
    <w:p w:rsidR="003365C3" w:rsidRPr="00A40D6C" w:rsidRDefault="003365C3" w:rsidP="009160E9">
      <w:pPr>
        <w:pStyle w:val="ListParagraph"/>
        <w:numPr>
          <w:ilvl w:val="0"/>
          <w:numId w:val="15"/>
        </w:numPr>
        <w:jc w:val="both"/>
        <w:rPr>
          <w:rFonts w:ascii="Times New Roman" w:hAnsi="Times New Roman" w:cs="Times New Roman"/>
          <w:sz w:val="20"/>
          <w:szCs w:val="20"/>
          <w:lang w:val="en-US"/>
        </w:rPr>
      </w:pPr>
      <m:oMath>
        <m:r>
          <w:rPr>
            <w:rFonts w:ascii="Cambria Math" w:hAnsi="Cambria Math" w:cs="Times New Roman"/>
            <w:sz w:val="20"/>
            <w:szCs w:val="20"/>
          </w:rPr>
          <m:t>η</m:t>
        </m:r>
      </m:oMath>
      <w:r w:rsidRPr="00A40D6C">
        <w:rPr>
          <w:rFonts w:ascii="Times New Roman" w:eastAsiaTheme="minorEastAsia" w:hAnsi="Times New Roman" w:cs="Times New Roman"/>
          <w:sz w:val="20"/>
          <w:szCs w:val="20"/>
          <w:lang w:val="en-US"/>
        </w:rPr>
        <w:t xml:space="preserve"> – enantiomeric excess</w:t>
      </w:r>
    </w:p>
    <w:p w:rsidR="00981B95" w:rsidRPr="00A40D6C" w:rsidRDefault="00981B95"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A40D6C">
        <w:rPr>
          <w:rFonts w:ascii="Times New Roman" w:eastAsiaTheme="minorEastAsia" w:hAnsi="Times New Roman" w:cs="Times New Roman"/>
          <w:sz w:val="20"/>
          <w:szCs w:val="20"/>
          <w:lang w:val="en-US"/>
        </w:rPr>
        <w:t xml:space="preserve"> – </w:t>
      </w:r>
      <w:r w:rsidR="0079238D" w:rsidRPr="00A40D6C">
        <w:rPr>
          <w:rFonts w:ascii="Times New Roman" w:eastAsiaTheme="minorEastAsia" w:hAnsi="Times New Roman" w:cs="Times New Roman"/>
          <w:sz w:val="20"/>
          <w:szCs w:val="20"/>
          <w:lang w:val="en-US"/>
        </w:rPr>
        <w:t>rate of forward ligation reactions</w:t>
      </w:r>
      <w:r w:rsidRPr="00A40D6C">
        <w:rPr>
          <w:rFonts w:ascii="Times New Roman" w:eastAsiaTheme="minorEastAsia" w:hAnsi="Times New Roman" w:cs="Times New Roman"/>
          <w:sz w:val="20"/>
          <w:szCs w:val="20"/>
          <w:lang w:val="en-US"/>
        </w:rPr>
        <w:t>.</w:t>
      </w:r>
      <w:r w:rsidR="0079238D" w:rsidRPr="00A40D6C">
        <w:rPr>
          <w:rFonts w:ascii="Times New Roman" w:eastAsiaTheme="minorEastAsia" w:hAnsi="Times New Roman" w:cs="Times New Roman"/>
          <w:sz w:val="20"/>
          <w:szCs w:val="20"/>
          <w:lang w:val="en-US"/>
        </w:rPr>
        <w:t xml:space="preserve"> The same value was used regardless enantiomeric content and length of peptides.</w:t>
      </w:r>
    </w:p>
    <w:p w:rsidR="00981B95" w:rsidRPr="00A40D6C" w:rsidRDefault="00261BF9"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A40D6C">
        <w:rPr>
          <w:rFonts w:ascii="Times New Roman" w:eastAsiaTheme="minorEastAsia" w:hAnsi="Times New Roman" w:cs="Times New Roman"/>
          <w:sz w:val="20"/>
          <w:szCs w:val="20"/>
          <w:lang w:val="en-US"/>
        </w:rPr>
        <w:t xml:space="preserve"> </w:t>
      </w:r>
      <w:r w:rsidRPr="00A40D6C">
        <w:rPr>
          <w:rFonts w:ascii="Times New Roman" w:eastAsiaTheme="minorEastAsia" w:hAnsi="Times New Roman" w:cs="Times New Roman"/>
          <w:sz w:val="20"/>
          <w:szCs w:val="20"/>
          <w:lang w:val="en-US"/>
        </w:rPr>
        <w:t xml:space="preserve">– </w:t>
      </w:r>
      <w:r w:rsidR="0079238D" w:rsidRPr="00A40D6C">
        <w:rPr>
          <w:rFonts w:ascii="Times New Roman" w:eastAsiaTheme="minorEastAsia" w:hAnsi="Times New Roman" w:cs="Times New Roman"/>
          <w:sz w:val="20"/>
          <w:szCs w:val="20"/>
          <w:lang w:val="en-US"/>
        </w:rPr>
        <w:t xml:space="preserve">rate of </w:t>
      </w:r>
      <w:r w:rsidR="0079238D" w:rsidRPr="00A40D6C">
        <w:rPr>
          <w:rFonts w:ascii="Times New Roman" w:eastAsiaTheme="minorEastAsia" w:hAnsi="Times New Roman" w:cs="Times New Roman"/>
          <w:sz w:val="20"/>
          <w:szCs w:val="20"/>
          <w:lang w:val="en-US"/>
        </w:rPr>
        <w:t>backward</w:t>
      </w:r>
      <w:r w:rsidR="0079238D" w:rsidRPr="00A40D6C">
        <w:rPr>
          <w:rFonts w:ascii="Times New Roman" w:eastAsiaTheme="minorEastAsia" w:hAnsi="Times New Roman" w:cs="Times New Roman"/>
          <w:sz w:val="20"/>
          <w:szCs w:val="20"/>
          <w:lang w:val="en-US"/>
        </w:rPr>
        <w:t xml:space="preserve"> ligation reactions. The same value was used regardless enantiomeric content and length of peptides</w:t>
      </w:r>
      <w:r w:rsidRPr="00A40D6C">
        <w:rPr>
          <w:rFonts w:ascii="Times New Roman" w:eastAsiaTheme="minorEastAsia" w:hAnsi="Times New Roman" w:cs="Times New Roman"/>
          <w:sz w:val="20"/>
          <w:szCs w:val="20"/>
          <w:lang w:val="en-US"/>
        </w:rPr>
        <w:t>.</w:t>
      </w:r>
    </w:p>
    <w:p w:rsidR="00E04452" w:rsidRPr="00A40D6C" w:rsidRDefault="00E04452"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A40D6C">
        <w:rPr>
          <w:rFonts w:ascii="Times New Roman" w:eastAsiaTheme="minorEastAsia" w:hAnsi="Times New Roman" w:cs="Times New Roman"/>
          <w:sz w:val="20"/>
          <w:szCs w:val="20"/>
          <w:lang w:val="en-US"/>
        </w:rPr>
        <w:t xml:space="preserve">, </w:t>
      </w:r>
      <w:r w:rsidR="00FF41DE" w:rsidRPr="00A40D6C">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A40D6C">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A40D6C">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A40D6C">
        <w:rPr>
          <w:rFonts w:ascii="Times New Roman" w:eastAsiaTheme="minorEastAsia" w:hAnsi="Times New Roman" w:cs="Times New Roman"/>
          <w:sz w:val="20"/>
          <w:szCs w:val="20"/>
          <w:lang w:val="en-US"/>
        </w:rPr>
        <w:t xml:space="preserve"> is their combined length</w:t>
      </w:r>
      <w:r w:rsidR="00FF41DE" w:rsidRPr="00A40D6C">
        <w:rPr>
          <w:rFonts w:ascii="Times New Roman" w:eastAsiaTheme="minorEastAsia" w:hAnsi="Times New Roman" w:cs="Times New Roman"/>
          <w:sz w:val="20"/>
          <w:szCs w:val="20"/>
          <w:lang w:val="en-US"/>
        </w:rPr>
        <w:t>, is the rate of sedimentation of insoluble pair. Please, refer below to the discussion why such "reactions" were used.</w:t>
      </w:r>
    </w:p>
    <w:p w:rsidR="009E61E8" w:rsidRPr="00B52034" w:rsidRDefault="009E61E8" w:rsidP="00A22DA4">
      <w:pPr>
        <w:jc w:val="both"/>
        <w:rPr>
          <w:rFonts w:ascii="Times New Roman" w:hAnsi="Times New Roman" w:cs="Times New Roman"/>
          <w:sz w:val="20"/>
          <w:szCs w:val="20"/>
          <w:lang w:val="en-US"/>
        </w:rPr>
      </w:pPr>
    </w:p>
    <w:p w:rsidR="00A22DA4" w:rsidRDefault="00A22DA4" w:rsidP="00A22DA4">
      <w:pPr>
        <w:jc w:val="both"/>
        <w:rPr>
          <w:rFonts w:ascii="Times New Roman" w:hAnsi="Times New Roman" w:cs="Times New Roman"/>
          <w:sz w:val="20"/>
          <w:szCs w:val="20"/>
          <w:lang w:val="en-US"/>
        </w:rPr>
      </w:pPr>
    </w:p>
    <w:p w:rsidR="00A22DA4" w:rsidRDefault="00A22DA4" w:rsidP="00A22DA4">
      <w:pPr>
        <w:jc w:val="both"/>
        <w:rPr>
          <w:rFonts w:ascii="Times New Roman" w:hAnsi="Times New Roman" w:cs="Times New Roman"/>
          <w:sz w:val="20"/>
          <w:szCs w:val="20"/>
          <w:lang w:val="en-US"/>
        </w:rPr>
      </w:pPr>
    </w:p>
    <w:p w:rsidR="00A22DA4" w:rsidRPr="00A22DA4" w:rsidRDefault="00A22DA4" w:rsidP="00A22DA4">
      <w:pPr>
        <w:jc w:val="both"/>
        <w:rPr>
          <w:rFonts w:ascii="Times New Roman" w:hAnsi="Times New Roman" w:cs="Times New Roman"/>
          <w:sz w:val="20"/>
          <w:szCs w:val="20"/>
          <w:lang w:val="en-US"/>
        </w:rPr>
      </w:pPr>
    </w:p>
    <w:p w:rsidR="001D010B" w:rsidRPr="001D010B" w:rsidRDefault="00177993" w:rsidP="00177993">
      <w:pPr>
        <w:pStyle w:val="Heading1"/>
        <w:rPr>
          <w:sz w:val="20"/>
          <w:szCs w:val="20"/>
        </w:rPr>
      </w:pPr>
      <w:bookmarkStart w:id="5" w:name="_Toc493890739"/>
      <w:r>
        <w:t>"C</w:t>
      </w:r>
      <w:r w:rsidRPr="00CA6505">
        <w:t>losure</w:t>
      </w:r>
      <w:r>
        <w:t>"</w:t>
      </w:r>
      <w:r w:rsidRPr="00CA6505">
        <w:t xml:space="preserve"> of models</w:t>
      </w:r>
      <w:bookmarkEnd w:id="5"/>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04620E"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6" w:name="EQ_MasterEq"/>
            <w:r w:rsidRPr="00CA6505">
              <w:rPr>
                <w:sz w:val="20"/>
              </w:rPr>
              <w:fldChar w:fldCharType="begin"/>
            </w:r>
            <w:r w:rsidRPr="00CA6505">
              <w:rPr>
                <w:sz w:val="20"/>
              </w:rPr>
              <w:instrText xml:space="preserve"> AUTONUMLGL  \e </w:instrText>
            </w:r>
            <w:r w:rsidRPr="00CA6505">
              <w:rPr>
                <w:sz w:val="20"/>
              </w:rPr>
              <w:fldChar w:fldCharType="end"/>
            </w:r>
            <w:bookmarkEnd w:id="6"/>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 xml:space="preserve">-th </w:t>
      </w:r>
      <w:proofErr w:type="gramStart"/>
      <w:r w:rsidRPr="00CA6505">
        <w:rPr>
          <w:rFonts w:ascii="Times New Roman" w:eastAsiaTheme="minorEastAsia" w:hAnsi="Times New Roman" w:cs="Times New Roman"/>
          <w:sz w:val="20"/>
          <w:szCs w:val="20"/>
          <w:lang w:val="en-US"/>
        </w:rPr>
        <w:t>reaction.</w:t>
      </w:r>
      <w:proofErr w:type="gramEnd"/>
      <w:r w:rsidRPr="00CA6505">
        <w:rPr>
          <w:rFonts w:ascii="Times New Roman" w:eastAsiaTheme="minorEastAsia" w:hAnsi="Times New Roman" w:cs="Times New Roman"/>
          <w:sz w:val="20"/>
          <w:szCs w:val="20"/>
          <w:lang w:val="en-US"/>
        </w:rPr>
        <w:t xml:space="preserve">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“close”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04620E"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04620E"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w:t>
      </w:r>
      <w:proofErr w:type="gramStart"/>
      <w:r w:rsidR="0066126A">
        <w:rPr>
          <w:rFonts w:ascii="Times New Roman" w:eastAsiaTheme="minorEastAsia" w:hAnsi="Times New Roman" w:cs="Times New Roman"/>
          <w:sz w:val="20"/>
          <w:szCs w:val="20"/>
          <w:lang w:val="en-US"/>
        </w:rPr>
        <w:t>in order to</w:t>
      </w:r>
      <w:proofErr w:type="gramEnd"/>
      <w:r w:rsidR="0066126A">
        <w:rPr>
          <w:rFonts w:ascii="Times New Roman" w:eastAsiaTheme="minorEastAsia" w:hAnsi="Times New Roman" w:cs="Times New Roman"/>
          <w:sz w:val="20"/>
          <w:szCs w:val="20"/>
          <w:lang w:val="en-US"/>
        </w:rPr>
        <w:t xml:space="preserve"> fulfill that under closing. </w:t>
      </w:r>
      <w:r w:rsidR="00C120FC">
        <w:rPr>
          <w:rFonts w:ascii="Times New Roman" w:eastAsiaTheme="minorEastAsia" w:hAnsi="Times New Roman" w:cs="Times New Roman"/>
          <w:sz w:val="20"/>
          <w:szCs w:val="20"/>
          <w:lang w:val="en-US"/>
        </w:rPr>
        <w:t>It is important to note that both pass-through models and "closed" cyclic models are open systems: pass-through models require constant inflow of "food" matter and a "sink" to remove waste products and "closed" cyclic models require constant inflow of energy to "recycle"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A92F09">
      <w:pPr>
        <w:pStyle w:val="Heading1"/>
      </w:pPr>
      <w:bookmarkStart w:id="7" w:name="_Toc493890740"/>
      <w:r w:rsidRPr="00CA6505">
        <w:t>Averaging of enantioselectivity in catalytic models</w:t>
      </w:r>
      <w:bookmarkEnd w:id="7"/>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04620E"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8" w:name="EQ_ReacSimple"/>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4620E"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ReacCat"/>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w:t>
      </w:r>
      <w:proofErr w:type="gramStart"/>
      <w:r w:rsidR="00A31C3E" w:rsidRPr="002D63A5">
        <w:rPr>
          <w:rFonts w:ascii="Times New Roman" w:hAnsi="Times New Roman" w:cs="Times New Roman"/>
          <w:sz w:val="20"/>
          <w:szCs w:val="20"/>
          <w:lang w:val="en-US"/>
        </w:rPr>
        <w:t>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w:t>
      </w:r>
      <w:proofErr w:type="gramEnd"/>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proofErr w:type="spellStart"/>
      <w:r w:rsidR="00AE35C0" w:rsidRPr="007E2D26">
        <w:rPr>
          <w:rFonts w:ascii="Times New Roman" w:hAnsi="Times New Roman" w:cs="Times New Roman"/>
          <w:sz w:val="20"/>
          <w:szCs w:val="20"/>
          <w:lang w:val="en-US"/>
        </w:rPr>
        <w:t>Avetisov</w:t>
      </w:r>
      <w:proofErr w:type="spellEnd"/>
      <w:r w:rsidR="00AE35C0" w:rsidRPr="007E2D26">
        <w:rPr>
          <w:rFonts w:ascii="Times New Roman" w:hAnsi="Times New Roman" w:cs="Times New Roman"/>
          <w:sz w:val="20"/>
          <w:szCs w:val="20"/>
          <w:lang w:val="en-US"/>
        </w:rPr>
        <w:t xml:space="preserve"> and </w:t>
      </w:r>
      <w:proofErr w:type="spellStart"/>
      <w:r w:rsidR="00AE35C0" w:rsidRPr="007E2D26">
        <w:rPr>
          <w:rFonts w:ascii="Times New Roman" w:hAnsi="Times New Roman" w:cs="Times New Roman"/>
          <w:sz w:val="20"/>
          <w:szCs w:val="20"/>
          <w:lang w:val="en-US"/>
        </w:rPr>
        <w:t>Goldanskii</w:t>
      </w:r>
      <w:proofErr w:type="spellEnd"/>
      <w:r w:rsidR="00AE35C0" w:rsidRPr="007E2D26">
        <w:rPr>
          <w:rFonts w:ascii="Times New Roman" w:hAnsi="Times New Roman" w:cs="Times New Roman"/>
          <w:sz w:val="20"/>
          <w:szCs w:val="20"/>
          <w:lang w:val="en-US"/>
        </w:rPr>
        <w:t xml:space="preserve">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 xml:space="preserve">Saito and </w:t>
      </w:r>
      <w:proofErr w:type="spellStart"/>
      <w:r w:rsidR="00AE35C0" w:rsidRPr="009E66C1">
        <w:rPr>
          <w:rFonts w:ascii="Times New Roman" w:hAnsi="Times New Roman" w:cs="Times New Roman"/>
          <w:sz w:val="20"/>
          <w:szCs w:val="20"/>
          <w:lang w:val="en-US"/>
        </w:rPr>
        <w:t>Hyuga</w:t>
      </w:r>
      <w:proofErr w:type="spellEnd"/>
      <w:r w:rsidR="00AE35C0" w:rsidRPr="009E66C1">
        <w:rPr>
          <w:rFonts w:ascii="Times New Roman" w:hAnsi="Times New Roman" w:cs="Times New Roman"/>
          <w:sz w:val="20"/>
          <w:szCs w:val="20"/>
          <w:lang w:val="en-US"/>
        </w:rPr>
        <w:t xml:space="preserve">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9E61E8" w:rsidRPr="009E61E8">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04620E"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proofErr w:type="spellStart"/>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-th</w:t>
      </w:r>
      <w:proofErr w:type="spellEnd"/>
      <w:r w:rsidRPr="00CA6505">
        <w:rPr>
          <w:rFonts w:ascii="Times New Roman" w:eastAsiaTheme="minorEastAsia" w:hAnsi="Times New Roman" w:cs="Times New Roman"/>
          <w:sz w:val="20"/>
          <w:szCs w:val="20"/>
          <w:lang w:val="en-US"/>
        </w:rPr>
        <w:t xml:space="preserve">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w:t>
      </w:r>
      <w:proofErr w:type="gramStart"/>
      <w:r w:rsidRPr="00CA6505">
        <w:rPr>
          <w:rFonts w:ascii="Times New Roman" w:eastAsiaTheme="minorEastAsia" w:hAnsi="Times New Roman" w:cs="Times New Roman"/>
          <w:sz w:val="20"/>
          <w:szCs w:val="20"/>
          <w:lang w:val="en-US"/>
        </w:rPr>
        <w:t>coefficients.</w:t>
      </w:r>
      <w:proofErr w:type="gramEnd"/>
      <w:r w:rsidRPr="00CA6505">
        <w:rPr>
          <w:rFonts w:ascii="Times New Roman" w:eastAsiaTheme="minorEastAsia" w:hAnsi="Times New Roman" w:cs="Times New Roman"/>
          <w:sz w:val="20"/>
          <w:szCs w:val="20"/>
          <w:lang w:val="en-US"/>
        </w:rPr>
        <w:t xml:space="preserve">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4620E"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AvgCatReaction"/>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w:t>
      </w:r>
      <w:proofErr w:type="gramStart"/>
      <w:r w:rsidRPr="00CA6505">
        <w:rPr>
          <w:rFonts w:ascii="Times New Roman" w:eastAsiaTheme="minorEastAsia" w:hAnsi="Times New Roman" w:cs="Times New Roman"/>
          <w:sz w:val="20"/>
          <w:szCs w:val="20"/>
          <w:lang w:val="en-US"/>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04620E"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04620E"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1" w:name="EQ_ReacEnantCat"/>
            <w:r w:rsidRPr="00CA6505">
              <w:rPr>
                <w:sz w:val="20"/>
              </w:rPr>
              <w:fldChar w:fldCharType="begin"/>
            </w:r>
            <w:r w:rsidRPr="00CA6505">
              <w:rPr>
                <w:sz w:val="20"/>
              </w:rPr>
              <w:instrText xml:space="preserve"> AUTONUMLGL  \e </w:instrText>
            </w:r>
            <w:r w:rsidRPr="00CA6505">
              <w:rPr>
                <w:sz w:val="20"/>
              </w:rPr>
              <w:fldChar w:fldCharType="end"/>
            </w:r>
            <w:bookmarkEnd w:id="11"/>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 xml:space="preserve">(Rein 1974; </w:t>
      </w:r>
      <w:proofErr w:type="spellStart"/>
      <w:r w:rsidR="00C6382B">
        <w:rPr>
          <w:rFonts w:ascii="Times New Roman" w:hAnsi="Times New Roman" w:cs="Times New Roman"/>
          <w:sz w:val="20"/>
          <w:szCs w:val="20"/>
          <w:lang w:val="en-US"/>
        </w:rPr>
        <w:t>Letokhov</w:t>
      </w:r>
      <w:proofErr w:type="spellEnd"/>
      <w:r w:rsidR="00C6382B">
        <w:rPr>
          <w:rFonts w:ascii="Times New Roman" w:hAnsi="Times New Roman" w:cs="Times New Roman"/>
          <w:sz w:val="20"/>
          <w:szCs w:val="20"/>
          <w:lang w:val="en-US"/>
        </w:rPr>
        <w:t xml:space="preserve">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04620E"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w:t>
      </w:r>
      <w:proofErr w:type="gramStart"/>
      <w:r w:rsidR="00E31E3A">
        <w:rPr>
          <w:rFonts w:ascii="Times New Roman" w:hAnsi="Times New Roman" w:cs="Times New Roman"/>
          <w:sz w:val="20"/>
          <w:szCs w:val="20"/>
          <w:lang w:val="en-US"/>
        </w:rPr>
        <w:t>exactly the same</w:t>
      </w:r>
      <w:proofErr w:type="gramEnd"/>
      <w:r w:rsidR="00E31E3A">
        <w:rPr>
          <w:rFonts w:ascii="Times New Roman" w:hAnsi="Times New Roman" w:cs="Times New Roman"/>
          <w:sz w:val="20"/>
          <w:szCs w:val="20"/>
          <w:lang w:val="en-US"/>
        </w:rPr>
        <w:t>.</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w:t>
      </w:r>
      <w:r w:rsidR="00C0678C">
        <w:rPr>
          <w:rFonts w:ascii="Times New Roman" w:hAnsi="Times New Roman" w:cs="Times New Roman"/>
          <w:sz w:val="20"/>
          <w:szCs w:val="20"/>
          <w:lang w:val="en-US"/>
        </w:rPr>
        <w:lastRenderedPageBreak/>
        <w:t>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proofErr w:type="gramStart"/>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the same</w:t>
      </w:r>
      <w:proofErr w:type="gramEnd"/>
      <w:r w:rsidR="00C0678C">
        <w:rPr>
          <w:rFonts w:ascii="Times New Roman" w:hAnsi="Times New Roman" w:cs="Times New Roman"/>
          <w:sz w:val="20"/>
          <w:szCs w:val="20"/>
          <w:lang w:val="en-US"/>
        </w:rPr>
        <w:t xml:space="preserv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22</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“allowed”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 xml:space="preserve">number of models and for quite </w:t>
      </w:r>
      <w:proofErr w:type="gramStart"/>
      <w:r w:rsidR="008A66DD">
        <w:rPr>
          <w:rFonts w:ascii="Times New Roman" w:hAnsi="Times New Roman" w:cs="Times New Roman"/>
          <w:sz w:val="20"/>
          <w:szCs w:val="20"/>
          <w:lang w:val="en-US"/>
        </w:rPr>
        <w:t>a large number of</w:t>
      </w:r>
      <w:proofErr w:type="gramEnd"/>
      <w:r w:rsidR="008A66DD">
        <w:rPr>
          <w:rFonts w:ascii="Times New Roman" w:hAnsi="Times New Roman" w:cs="Times New Roman"/>
          <w:sz w:val="20"/>
          <w:szCs w:val="20"/>
          <w:lang w:val="en-US"/>
        </w:rPr>
        <w:t xml:space="preserve">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proofErr w:type="spellStart"/>
      <w:r w:rsidR="00FA0CA1" w:rsidRPr="00B96549">
        <w:rPr>
          <w:rFonts w:ascii="Times New Roman" w:hAnsi="Times New Roman" w:cs="Times New Roman"/>
          <w:sz w:val="20"/>
          <w:szCs w:val="20"/>
          <w:lang w:val="en-US"/>
        </w:rPr>
        <w:t>Fujima</w:t>
      </w:r>
      <w:proofErr w:type="spellEnd"/>
      <w:r w:rsidR="00FA0CA1" w:rsidRPr="00B96549">
        <w:rPr>
          <w:rFonts w:ascii="Times New Roman" w:hAnsi="Times New Roman" w:cs="Times New Roman"/>
          <w:sz w:val="20"/>
          <w:szCs w:val="20"/>
          <w:lang w:val="en-US"/>
        </w:rPr>
        <w:t xml:space="preserve"> et al. 2006;</w:t>
      </w:r>
      <w:r w:rsidR="00FA0CA1">
        <w:rPr>
          <w:rFonts w:ascii="Times New Roman" w:hAnsi="Times New Roman" w:cs="Times New Roman"/>
          <w:sz w:val="20"/>
          <w:szCs w:val="20"/>
          <w:lang w:val="en-US"/>
        </w:rPr>
        <w:t xml:space="preserve"> </w:t>
      </w:r>
      <w:proofErr w:type="spellStart"/>
      <w:r w:rsidR="00FA0CA1">
        <w:rPr>
          <w:rFonts w:ascii="Times New Roman" w:hAnsi="Times New Roman" w:cs="Times New Roman"/>
          <w:sz w:val="20"/>
          <w:szCs w:val="20"/>
          <w:lang w:val="en-US"/>
        </w:rPr>
        <w:t>Sczepanski</w:t>
      </w:r>
      <w:proofErr w:type="spellEnd"/>
      <w:r w:rsidR="00FA0CA1">
        <w:rPr>
          <w:rFonts w:ascii="Times New Roman" w:hAnsi="Times New Roman" w:cs="Times New Roman"/>
          <w:sz w:val="20"/>
          <w:szCs w:val="20"/>
          <w:lang w:val="en-US"/>
        </w:rPr>
        <w:t xml:space="preserve">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2" w:name="_Toc493890741"/>
      <w:r w:rsidRPr="00CA6505">
        <w:t xml:space="preserve">Models with </w:t>
      </w:r>
      <w:r w:rsidR="00190A98" w:rsidRPr="00CA6505">
        <w:t>peptides up to length 5</w:t>
      </w:r>
      <w:r w:rsidRPr="00CA6505">
        <w:t>, catalytic synthesis, and crystallization of insoluble pair</w:t>
      </w:r>
      <w:bookmarkEnd w:id="12"/>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proofErr w:type="gramStart"/>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 number of</w:t>
      </w:r>
      <w:proofErr w:type="gramEnd"/>
      <w:r w:rsidRPr="00CA6505">
        <w:rPr>
          <w:rFonts w:ascii="Times New Roman" w:eastAsiaTheme="minorEastAsia" w:hAnsi="Times New Roman" w:cs="Times New Roman"/>
          <w:sz w:val="20"/>
          <w:szCs w:val="20"/>
          <w:lang w:val="en-US"/>
        </w:rPr>
        <w:t xml:space="preserve">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“peptide” of length one) </w:t>
      </w:r>
      <w:r w:rsidR="008E70DA">
        <w:rPr>
          <w:rFonts w:ascii="Times New Roman" w:eastAsiaTheme="minorEastAsia" w:hAnsi="Times New Roman" w:cs="Times New Roman"/>
          <w:sz w:val="20"/>
          <w:szCs w:val="20"/>
          <w:lang w:val="en-US"/>
        </w:rPr>
        <w:t xml:space="preserve">were considered in </w:t>
      </w:r>
      <w:proofErr w:type="gramStart"/>
      <w:r w:rsidR="008E70DA">
        <w:rPr>
          <w:rFonts w:ascii="Times New Roman" w:eastAsiaTheme="minorEastAsia" w:hAnsi="Times New Roman" w:cs="Times New Roman"/>
          <w:sz w:val="20"/>
          <w:szCs w:val="20"/>
          <w:lang w:val="en-US"/>
        </w:rPr>
        <w:t>great detail</w:t>
      </w:r>
      <w:proofErr w:type="gramEnd"/>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proofErr w:type="spellStart"/>
      <w:r w:rsidR="00D668DE" w:rsidRPr="005F69E4">
        <w:rPr>
          <w:rFonts w:ascii="Times New Roman" w:eastAsiaTheme="minorEastAsia" w:hAnsi="Times New Roman" w:cs="Times New Roman"/>
          <w:sz w:val="20"/>
          <w:szCs w:val="20"/>
          <w:lang w:val="en-US"/>
        </w:rPr>
        <w:t>Avetisov</w:t>
      </w:r>
      <w:proofErr w:type="spellEnd"/>
      <w:r w:rsidR="00D668DE" w:rsidRPr="005F69E4">
        <w:rPr>
          <w:rFonts w:ascii="Times New Roman" w:eastAsiaTheme="minorEastAsia" w:hAnsi="Times New Roman" w:cs="Times New Roman"/>
          <w:sz w:val="20"/>
          <w:szCs w:val="20"/>
          <w:lang w:val="en-US"/>
        </w:rPr>
        <w:t xml:space="preserve"> and </w:t>
      </w:r>
      <w:proofErr w:type="spellStart"/>
      <w:r w:rsidR="00D668DE" w:rsidRPr="005F69E4">
        <w:rPr>
          <w:rFonts w:ascii="Times New Roman" w:eastAsiaTheme="minorEastAsia" w:hAnsi="Times New Roman" w:cs="Times New Roman"/>
          <w:sz w:val="20"/>
          <w:szCs w:val="20"/>
          <w:lang w:val="en-US"/>
        </w:rPr>
        <w:t>Goldanskii</w:t>
      </w:r>
      <w:proofErr w:type="spellEnd"/>
      <w:r w:rsidR="00D668DE" w:rsidRPr="005F69E4">
        <w:rPr>
          <w:rFonts w:ascii="Times New Roman" w:eastAsiaTheme="minorEastAsia" w:hAnsi="Times New Roman" w:cs="Times New Roman"/>
          <w:sz w:val="20"/>
          <w:szCs w:val="20"/>
          <w:lang w:val="en-US"/>
        </w:rPr>
        <w:t xml:space="preserve">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w:r w:rsidR="00034215">
        <w:rPr>
          <w:rFonts w:ascii="Times New Roman" w:eastAsiaTheme="minorEastAsia" w:hAnsi="Times New Roman" w:cs="Times New Roman"/>
          <w:sz w:val="20"/>
          <w:szCs w:val="20"/>
          <w:lang w:val="en-US"/>
        </w:rPr>
        <w:t>“</w:t>
      </w:r>
      <m:oMath>
        <m:r>
          <w:rPr>
            <w:rFonts w:ascii="Cambria Math" w:hAnsi="Cambria Math" w:cs="Times New Roman"/>
            <w:sz w:val="20"/>
            <w:szCs w:val="20"/>
          </w:rPr>
          <m:t>A</m:t>
        </m:r>
      </m:oMath>
      <w:r w:rsidR="0003421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left enantiomer and as </w:t>
      </w:r>
      <w:r w:rsidR="00034215">
        <w:rPr>
          <w:rFonts w:ascii="Times New Roman" w:eastAsiaTheme="minorEastAsia" w:hAnsi="Times New Roman" w:cs="Times New Roman"/>
          <w:sz w:val="20"/>
          <w:szCs w:val="20"/>
          <w:lang w:val="en-US"/>
        </w:rPr>
        <w:t>“</w:t>
      </w:r>
      <m:oMath>
        <m:r>
          <w:rPr>
            <w:rFonts w:ascii="Cambria Math" w:hAnsi="Cambria Math" w:cs="Times New Roman"/>
            <w:sz w:val="20"/>
            <w:szCs w:val="20"/>
          </w:rPr>
          <m:t>a</m:t>
        </m:r>
      </m:oMath>
      <w:r w:rsidR="0003421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Avetisov</w:t>
      </w:r>
      <w:proofErr w:type="spellEnd"/>
      <w:r w:rsidR="00AC113C" w:rsidRPr="008A130A">
        <w:rPr>
          <w:rFonts w:ascii="Times New Roman" w:hAnsi="Times New Roman" w:cs="Times New Roman"/>
          <w:sz w:val="20"/>
          <w:szCs w:val="20"/>
          <w:lang w:val="en-US"/>
        </w:rPr>
        <w:t xml:space="preserve"> and </w:t>
      </w:r>
      <w:proofErr w:type="spellStart"/>
      <w:r w:rsidR="00AC113C" w:rsidRPr="008A130A">
        <w:rPr>
          <w:rFonts w:ascii="Times New Roman" w:hAnsi="Times New Roman" w:cs="Times New Roman"/>
          <w:sz w:val="20"/>
          <w:szCs w:val="20"/>
          <w:lang w:val="en-US"/>
        </w:rPr>
        <w:t>Goldanskii</w:t>
      </w:r>
      <w:proofErr w:type="spellEnd"/>
      <w:r w:rsidR="00AC113C" w:rsidRPr="008A130A">
        <w:rPr>
          <w:rFonts w:ascii="Times New Roman" w:hAnsi="Times New Roman" w:cs="Times New Roman"/>
          <w:sz w:val="20"/>
          <w:szCs w:val="20"/>
          <w:lang w:val="en-US"/>
        </w:rPr>
        <w:t xml:space="preserve">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Saito and </w:t>
      </w:r>
      <w:proofErr w:type="spellStart"/>
      <w:r w:rsidR="00AC113C" w:rsidRPr="008A130A">
        <w:rPr>
          <w:rFonts w:ascii="Times New Roman" w:hAnsi="Times New Roman" w:cs="Times New Roman"/>
          <w:sz w:val="20"/>
          <w:szCs w:val="20"/>
          <w:lang w:val="en-US"/>
        </w:rPr>
        <w:t>Hyuga</w:t>
      </w:r>
      <w:proofErr w:type="spellEnd"/>
      <w:r w:rsidR="00AC113C" w:rsidRPr="008A130A">
        <w:rPr>
          <w:rFonts w:ascii="Times New Roman" w:hAnsi="Times New Roman" w:cs="Times New Roman"/>
          <w:sz w:val="20"/>
          <w:szCs w:val="20"/>
          <w:lang w:val="en-US"/>
        </w:rPr>
        <w:t xml:space="preserve"> 2004;</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Weissbuch</w:t>
      </w:r>
      <w:proofErr w:type="spellEnd"/>
      <w:r w:rsidR="00AC113C" w:rsidRPr="009A07A5">
        <w:rPr>
          <w:rFonts w:ascii="Times New Roman" w:hAnsi="Times New Roman" w:cs="Times New Roman"/>
          <w:sz w:val="20"/>
          <w:szCs w:val="20"/>
          <w:lang w:val="en-US"/>
        </w:rPr>
        <w:t xml:space="preserve">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van der </w:t>
      </w:r>
      <w:proofErr w:type="spellStart"/>
      <w:r w:rsidR="00AC113C" w:rsidRPr="009A07A5">
        <w:rPr>
          <w:rFonts w:ascii="Times New Roman" w:hAnsi="Times New Roman" w:cs="Times New Roman"/>
          <w:sz w:val="20"/>
          <w:szCs w:val="20"/>
          <w:lang w:val="en-US"/>
        </w:rPr>
        <w:t>Meijden</w:t>
      </w:r>
      <w:proofErr w:type="spellEnd"/>
      <w:r w:rsidR="00AC113C" w:rsidRPr="009A07A5">
        <w:rPr>
          <w:rFonts w:ascii="Times New Roman" w:hAnsi="Times New Roman" w:cs="Times New Roman"/>
          <w:sz w:val="20"/>
          <w:szCs w:val="20"/>
          <w:lang w:val="en-US"/>
        </w:rPr>
        <w:t xml:space="preserve"> et al. 2009;</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Noorduin</w:t>
      </w:r>
      <w:proofErr w:type="spellEnd"/>
      <w:r w:rsidR="00AC113C" w:rsidRPr="009A07A5">
        <w:rPr>
          <w:rFonts w:ascii="Times New Roman" w:hAnsi="Times New Roman" w:cs="Times New Roman"/>
          <w:sz w:val="20"/>
          <w:szCs w:val="20"/>
          <w:lang w:val="en-US"/>
        </w:rPr>
        <w:t xml:space="preserve">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Blackmond 2011; </w:t>
      </w:r>
      <w:proofErr w:type="spellStart"/>
      <w:r w:rsidR="00AC113C" w:rsidRPr="009A07A5">
        <w:rPr>
          <w:rFonts w:ascii="Times New Roman" w:hAnsi="Times New Roman" w:cs="Times New Roman"/>
          <w:sz w:val="20"/>
          <w:szCs w:val="20"/>
          <w:lang w:val="en-US"/>
        </w:rPr>
        <w:t>Coveney</w:t>
      </w:r>
      <w:proofErr w:type="spellEnd"/>
      <w:r w:rsidR="00AC113C" w:rsidRPr="009A07A5">
        <w:rPr>
          <w:rFonts w:ascii="Times New Roman" w:hAnsi="Times New Roman" w:cs="Times New Roman"/>
          <w:sz w:val="20"/>
          <w:szCs w:val="20"/>
          <w:lang w:val="en-US"/>
        </w:rPr>
        <w:t xml:space="preserve">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Ribó</w:t>
      </w:r>
      <w:proofErr w:type="spellEnd"/>
      <w:r w:rsidR="00AC113C" w:rsidRPr="008A130A">
        <w:rPr>
          <w:rFonts w:ascii="Times New Roman" w:hAnsi="Times New Roman" w:cs="Times New Roman"/>
          <w:sz w:val="20"/>
          <w:szCs w:val="20"/>
          <w:lang w:val="en-US"/>
        </w:rPr>
        <w:t xml:space="preserve">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w:t>
      </w:r>
      <w:proofErr w:type="gramStart"/>
      <w:r w:rsidR="001F0222" w:rsidRPr="00CA6505">
        <w:rPr>
          <w:rFonts w:ascii="Times New Roman" w:eastAsiaTheme="minorEastAsia" w:hAnsi="Times New Roman" w:cs="Times New Roman"/>
          <w:sz w:val="20"/>
          <w:szCs w:val="20"/>
          <w:lang w:val="en-US"/>
        </w:rPr>
        <w:t>in order to</w:t>
      </w:r>
      <w:proofErr w:type="gramEnd"/>
      <w:r w:rsidR="001F0222" w:rsidRPr="00CA6505">
        <w:rPr>
          <w:rFonts w:ascii="Times New Roman" w:eastAsiaTheme="minorEastAsia" w:hAnsi="Times New Roman" w:cs="Times New Roman"/>
          <w:sz w:val="20"/>
          <w:szCs w:val="20"/>
          <w:lang w:val="en-US"/>
        </w:rPr>
        <w:t xml:space="preserve">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3" w:name="EQ_AllSubst"/>
            <w:r w:rsidRPr="00CA6505">
              <w:rPr>
                <w:sz w:val="20"/>
              </w:rPr>
              <w:fldChar w:fldCharType="begin"/>
            </w:r>
            <w:r w:rsidRPr="00CA6505">
              <w:rPr>
                <w:sz w:val="20"/>
              </w:rPr>
              <w:instrText xml:space="preserve"> AUTONUMLGL  \e </w:instrText>
            </w:r>
            <w:r w:rsidRPr="00CA6505">
              <w:rPr>
                <w:sz w:val="20"/>
              </w:rPr>
              <w:fldChar w:fldCharType="end"/>
            </w:r>
            <w:bookmarkEnd w:id="13"/>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w:t>
      </w:r>
      <w:r w:rsidRPr="00CA6505">
        <w:rPr>
          <w:rFonts w:ascii="Times New Roman" w:eastAsiaTheme="minorEastAsia" w:hAnsi="Times New Roman" w:cs="Times New Roman"/>
          <w:sz w:val="20"/>
          <w:szCs w:val="20"/>
          <w:lang w:val="en-US"/>
        </w:rPr>
        <w:lastRenderedPageBreak/>
        <w:t xml:space="preserve">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w:t>
      </w:r>
      <w:proofErr w:type="gramStart"/>
      <w:r w:rsidRPr="00CA6505">
        <w:rPr>
          <w:rFonts w:ascii="Times New Roman" w:eastAsiaTheme="minorEastAsia" w:hAnsi="Times New Roman" w:cs="Times New Roman"/>
          <w:sz w:val="20"/>
          <w:szCs w:val="20"/>
          <w:lang w:val="en-US"/>
        </w:rPr>
        <w:t>take into account</w:t>
      </w:r>
      <w:proofErr w:type="gramEnd"/>
      <w:r w:rsidRPr="00CA6505">
        <w:rPr>
          <w:rFonts w:ascii="Times New Roman" w:eastAsiaTheme="minorEastAsia" w:hAnsi="Times New Roman" w:cs="Times New Roman"/>
          <w:sz w:val="20"/>
          <w:szCs w:val="20"/>
          <w:lang w:val="en-US"/>
        </w:rPr>
        <w:t xml:space="preserve">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proofErr w:type="gramStart"/>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hus</w:t>
      </w:r>
      <w:proofErr w:type="gramEnd"/>
      <w:r w:rsidR="00655E0A" w:rsidRPr="00CA6505">
        <w:rPr>
          <w:rFonts w:ascii="Times New Roman" w:eastAsiaTheme="minorEastAsia" w:hAnsi="Times New Roman" w:cs="Times New Roman"/>
          <w:sz w:val="20"/>
          <w:szCs w:val="20"/>
          <w:lang w:val="en-US"/>
        </w:rPr>
        <w:t xml:space="preserve">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4" w:name="_Toc493890742"/>
      <w:r w:rsidRPr="00297718">
        <w:t>Reversible synthesis of amino acids</w:t>
      </w:r>
      <w:bookmarkEnd w:id="1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620E"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5" w:name="EQ_Synth"/>
            <w:r w:rsidRPr="00CA6505">
              <w:rPr>
                <w:sz w:val="20"/>
              </w:rPr>
              <w:fldChar w:fldCharType="begin"/>
            </w:r>
            <w:r w:rsidRPr="00CA6505">
              <w:rPr>
                <w:sz w:val="20"/>
              </w:rPr>
              <w:instrText xml:space="preserve"> AUTONUMLGL  \e </w:instrText>
            </w:r>
            <w:r w:rsidRPr="00CA6505">
              <w:rPr>
                <w:sz w:val="20"/>
              </w:rPr>
              <w:fldChar w:fldCharType="end"/>
            </w:r>
            <w:bookmarkEnd w:id="15"/>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proofErr w:type="spellStart"/>
      <w:r w:rsidR="006F24E1" w:rsidRPr="00CB3AA0">
        <w:rPr>
          <w:rFonts w:ascii="Times New Roman" w:eastAsiaTheme="minorEastAsia" w:hAnsi="Times New Roman" w:cs="Times New Roman"/>
          <w:sz w:val="20"/>
          <w:szCs w:val="20"/>
          <w:lang w:val="en-US"/>
        </w:rPr>
        <w:t>Avetisov</w:t>
      </w:r>
      <w:proofErr w:type="spellEnd"/>
      <w:r w:rsidR="006F24E1" w:rsidRPr="00CB3AA0">
        <w:rPr>
          <w:rFonts w:ascii="Times New Roman" w:eastAsiaTheme="minorEastAsia" w:hAnsi="Times New Roman" w:cs="Times New Roman"/>
          <w:sz w:val="20"/>
          <w:szCs w:val="20"/>
          <w:lang w:val="en-US"/>
        </w:rPr>
        <w:t xml:space="preserve"> and </w:t>
      </w:r>
      <w:proofErr w:type="spellStart"/>
      <w:r w:rsidR="006F24E1" w:rsidRPr="00CB3AA0">
        <w:rPr>
          <w:rFonts w:ascii="Times New Roman" w:eastAsiaTheme="minorEastAsia" w:hAnsi="Times New Roman" w:cs="Times New Roman"/>
          <w:sz w:val="20"/>
          <w:szCs w:val="20"/>
          <w:lang w:val="en-US"/>
        </w:rPr>
        <w:t>Goldanskii</w:t>
      </w:r>
      <w:proofErr w:type="spellEnd"/>
      <w:r w:rsidR="006F24E1" w:rsidRPr="00CB3AA0">
        <w:rPr>
          <w:rFonts w:ascii="Times New Roman" w:eastAsiaTheme="minorEastAsia" w:hAnsi="Times New Roman" w:cs="Times New Roman"/>
          <w:sz w:val="20"/>
          <w:szCs w:val="20"/>
          <w:lang w:val="en-US"/>
        </w:rPr>
        <w:t xml:space="preserve">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6" w:name="_Toc493890743"/>
      <w:r w:rsidRPr="00297718">
        <w:t>Catalytic synthesis of amino acids</w:t>
      </w:r>
      <w:bookmarkEnd w:id="1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620E"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CatSynth"/>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FC4F68">
        <w:rPr>
          <w:rFonts w:ascii="Times New Roman" w:eastAsiaTheme="minorEastAsia" w:hAnsi="Times New Roman" w:cs="Times New Roman"/>
          <w:sz w:val="20"/>
          <w:szCs w:val="20"/>
          <w:lang w:val="en-US"/>
        </w:rPr>
        <w:t xml:space="preserve"> </w:t>
      </w:r>
      <w:r w:rsidR="00FC4F68" w:rsidRPr="00FC4F68">
        <w:rPr>
          <w:rFonts w:ascii="Times New Roman" w:eastAsiaTheme="minorEastAsia" w:hAnsi="Times New Roman" w:cs="Times New Roman"/>
          <w:sz w:val="20"/>
          <w:szCs w:val="20"/>
          <w:highlight w:val="magenta"/>
          <w:lang w:val="en-US"/>
        </w:rPr>
        <w:t>_________</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D86393"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s"/>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620E"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9" w:name="EQ_GammaZero"/>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04620E"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20" w:name="EQ_TotalEnantGamma"/>
            <w:r w:rsidRPr="00CA6505">
              <w:rPr>
                <w:sz w:val="20"/>
              </w:rPr>
              <w:fldChar w:fldCharType="begin"/>
            </w:r>
            <w:r w:rsidRPr="00CA6505">
              <w:rPr>
                <w:sz w:val="20"/>
              </w:rPr>
              <w:instrText xml:space="preserve"> AUTONUMLGL  \e </w:instrText>
            </w:r>
            <w:r w:rsidRPr="00CA6505">
              <w:rPr>
                <w:sz w:val="20"/>
              </w:rPr>
              <w:fldChar w:fldCharType="end"/>
            </w:r>
            <w:bookmarkEnd w:id="20"/>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04620E"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1" w:name="_Toc493890744"/>
      <w:r w:rsidRPr="00297718">
        <w:t>Activation</w:t>
      </w:r>
      <w:bookmarkEnd w:id="21"/>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w:t>
      </w:r>
      <w:proofErr w:type="gramStart"/>
      <w:r w:rsidRPr="00CA6505">
        <w:rPr>
          <w:rFonts w:ascii="Times New Roman" w:eastAsiaTheme="minorEastAsia" w:hAnsi="Times New Roman" w:cs="Times New Roman"/>
          <w:sz w:val="20"/>
          <w:szCs w:val="20"/>
          <w:lang w:val="en-US"/>
        </w:rPr>
        <w:t>in regards to</w:t>
      </w:r>
      <w:proofErr w:type="gramEnd"/>
      <w:r w:rsidRPr="00CA6505">
        <w:rPr>
          <w:rFonts w:ascii="Times New Roman" w:eastAsiaTheme="minorEastAsia" w:hAnsi="Times New Roman" w:cs="Times New Roman"/>
          <w:sz w:val="20"/>
          <w:szCs w:val="20"/>
          <w:lang w:val="en-US"/>
        </w:rPr>
        <w:t xml:space="preserve">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620E"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2" w:name="EQ_Act"/>
            <w:r w:rsidRPr="00CA6505">
              <w:rPr>
                <w:sz w:val="20"/>
              </w:rPr>
              <w:fldChar w:fldCharType="begin"/>
            </w:r>
            <w:r w:rsidRPr="00CA6505">
              <w:rPr>
                <w:sz w:val="20"/>
              </w:rPr>
              <w:instrText xml:space="preserve"> AUTONUMLGL  \e </w:instrText>
            </w:r>
            <w:r w:rsidRPr="00CA6505">
              <w:rPr>
                <w:sz w:val="20"/>
              </w:rPr>
              <w:fldChar w:fldCharType="end"/>
            </w:r>
            <w:bookmarkEnd w:id="22"/>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3" w:name="_Toc493890745"/>
      <w:r w:rsidRPr="00297718">
        <w:t>Polymerization / Depolymerization</w:t>
      </w:r>
      <w:bookmarkEnd w:id="23"/>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t>
      </w:r>
      <w:proofErr w:type="gramStart"/>
      <w:r w:rsidRPr="00CA6505">
        <w:rPr>
          <w:rFonts w:ascii="Times New Roman" w:eastAsiaTheme="minorEastAsia" w:hAnsi="Times New Roman" w:cs="Times New Roman"/>
          <w:sz w:val="20"/>
          <w:szCs w:val="20"/>
          <w:lang w:val="en-US"/>
        </w:rPr>
        <w:t>taken into account</w:t>
      </w:r>
      <w:proofErr w:type="gramEnd"/>
      <w:r w:rsidRPr="00CA6505">
        <w:rPr>
          <w:rFonts w:ascii="Times New Roman" w:eastAsiaTheme="minorEastAsia" w:hAnsi="Times New Roman" w:cs="Times New Roman"/>
          <w:sz w:val="20"/>
          <w:szCs w:val="20"/>
          <w:lang w:val="en-US"/>
        </w:rPr>
        <w: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04620E"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04620E"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04620E"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4" w:name="EQ_PeptideForm"/>
            <w:r w:rsidRPr="00CA6505">
              <w:rPr>
                <w:sz w:val="20"/>
              </w:rPr>
              <w:fldChar w:fldCharType="begin"/>
            </w:r>
            <w:r w:rsidRPr="00CA6505">
              <w:rPr>
                <w:sz w:val="20"/>
              </w:rPr>
              <w:instrText xml:space="preserve"> AUTONUMLGL  \e </w:instrText>
            </w:r>
            <w:r w:rsidRPr="00CA6505">
              <w:rPr>
                <w:sz w:val="20"/>
              </w:rPr>
              <w:fldChar w:fldCharType="end"/>
            </w:r>
            <w:bookmarkEnd w:id="24"/>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w:t>
      </w:r>
      <w:proofErr w:type="gramStart"/>
      <w:r w:rsidR="004A6FAF" w:rsidRPr="00CA6505">
        <w:rPr>
          <w:rFonts w:ascii="Times New Roman" w:eastAsiaTheme="minorEastAsia" w:hAnsi="Times New Roman" w:cs="Times New Roman"/>
          <w:sz w:val="20"/>
          <w:szCs w:val="20"/>
          <w:lang w:val="en-US"/>
        </w:rPr>
        <w:t>models</w:t>
      </w:r>
      <w:proofErr w:type="gramEnd"/>
      <w:r w:rsidR="004A6FAF" w:rsidRPr="00CA6505">
        <w:rPr>
          <w:rFonts w:ascii="Times New Roman" w:eastAsiaTheme="minorEastAsia" w:hAnsi="Times New Roman" w:cs="Times New Roman"/>
          <w:sz w:val="20"/>
          <w:szCs w:val="20"/>
          <w:lang w:val="en-US"/>
        </w:rPr>
        <w:t xml:space="preserve">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79238D">
        <w:rPr>
          <w:rFonts w:ascii="Times New Roman" w:eastAsiaTheme="minorEastAsia" w:hAnsi="Times New Roman" w:cs="Times New Roman"/>
          <w:sz w:val="20"/>
          <w:szCs w:val="20"/>
          <w:highlight w:val="magenta"/>
          <w:lang w:val="en-US"/>
        </w:rPr>
        <w:t xml:space="preserve">have </w:t>
      </w:r>
      <w:r w:rsidR="004A6FAF" w:rsidRPr="0079238D">
        <w:rPr>
          <w:rFonts w:ascii="Times New Roman" w:eastAsiaTheme="minorEastAsia" w:hAnsi="Times New Roman" w:cs="Times New Roman"/>
          <w:sz w:val="20"/>
          <w:szCs w:val="20"/>
          <w:highlight w:val="magenta"/>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w:t>
      </w:r>
      <w:proofErr w:type="gramStart"/>
      <w:r w:rsidR="00D873B7" w:rsidRPr="00CA6505">
        <w:rPr>
          <w:rFonts w:ascii="Times New Roman" w:eastAsiaTheme="minorEastAsia" w:hAnsi="Times New Roman" w:cs="Times New Roman"/>
          <w:sz w:val="20"/>
          <w:szCs w:val="20"/>
          <w:lang w:val="en-US"/>
        </w:rPr>
        <w:t>in order to</w:t>
      </w:r>
      <w:proofErr w:type="gramEnd"/>
      <w:r w:rsidR="00D873B7" w:rsidRPr="00CA6505">
        <w:rPr>
          <w:rFonts w:ascii="Times New Roman" w:eastAsiaTheme="minorEastAsia" w:hAnsi="Times New Roman" w:cs="Times New Roman"/>
          <w:sz w:val="20"/>
          <w:szCs w:val="20"/>
          <w:lang w:val="en-US"/>
        </w:rPr>
        <w:t xml:space="preserve">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5" w:name="_Toc493890746"/>
      <w:r w:rsidRPr="00297718">
        <w:t>Sedimentation of insoluble pairs</w:t>
      </w:r>
      <w:bookmarkEnd w:id="25"/>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discussed above, any pass-through models, including models with sedimentation can be “closed”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04620E"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6" w:name="EQ_SedSimple"/>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04620E"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7" w:name="EQ_SedSimple2"/>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 xml:space="preserve">If we assume that a pair of peptides may form a temporary (not peptide) bond and then subsequently some of such pairs are insoluble, then we </w:t>
      </w:r>
      <w:proofErr w:type="gramStart"/>
      <w:r w:rsidR="00217B5E" w:rsidRPr="00CA6505">
        <w:rPr>
          <w:rFonts w:ascii="Times New Roman" w:eastAsiaTheme="minorEastAsia" w:hAnsi="Times New Roman" w:cs="Times New Roman"/>
          <w:sz w:val="20"/>
          <w:szCs w:val="20"/>
          <w:lang w:val="en-US"/>
        </w:rPr>
        <w:t>have to</w:t>
      </w:r>
      <w:proofErr w:type="gramEnd"/>
      <w:r w:rsidR="00217B5E" w:rsidRPr="00CA6505">
        <w:rPr>
          <w:rFonts w:ascii="Times New Roman" w:eastAsiaTheme="minorEastAsia" w:hAnsi="Times New Roman" w:cs="Times New Roman"/>
          <w:sz w:val="20"/>
          <w:szCs w:val="20"/>
          <w:lang w:val="en-US"/>
        </w:rPr>
        <w:t xml:space="preserve">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04620E"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8" w:name="EQ_PairForm"/>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eastAsiaTheme="minorEastAsia" w:hAnsi="Times New Roman" w:cs="Times New Roman"/>
          <w:sz w:val="20"/>
          <w:szCs w:val="20"/>
          <w:lang w:val="en-US"/>
        </w:rPr>
        <w:t>27</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xml:space="preserve">). Rather, it is important to take both into account </w:t>
      </w:r>
      <w:proofErr w:type="gramStart"/>
      <w:r w:rsidR="00956CF5" w:rsidRPr="00CA6505">
        <w:rPr>
          <w:rFonts w:ascii="Times New Roman" w:eastAsiaTheme="minorEastAsia" w:hAnsi="Times New Roman" w:cs="Times New Roman"/>
          <w:sz w:val="20"/>
          <w:szCs w:val="20"/>
          <w:lang w:val="en-US"/>
        </w:rPr>
        <w:t>and also</w:t>
      </w:r>
      <w:proofErr w:type="gramEnd"/>
      <w:r w:rsidR="00956CF5" w:rsidRPr="00CA6505">
        <w:rPr>
          <w:rFonts w:ascii="Times New Roman" w:eastAsiaTheme="minorEastAsia" w:hAnsi="Times New Roman" w:cs="Times New Roman"/>
          <w:sz w:val="20"/>
          <w:szCs w:val="20"/>
          <w:lang w:val="en-US"/>
        </w:rPr>
        <w:t xml:space="preserve">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04620E"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9" w:name="EQ_SedNW"/>
            <w:r w:rsidRPr="00CA6505">
              <w:rPr>
                <w:sz w:val="20"/>
              </w:rPr>
              <w:fldChar w:fldCharType="begin"/>
            </w:r>
            <w:r w:rsidRPr="00CA6505">
              <w:rPr>
                <w:sz w:val="20"/>
              </w:rPr>
              <w:instrText xml:space="preserve"> AUTONUMLGL  \e </w:instrText>
            </w:r>
            <w:r w:rsidRPr="00CA6505">
              <w:rPr>
                <w:sz w:val="20"/>
              </w:rPr>
              <w:fldChar w:fldCharType="end"/>
            </w:r>
            <w:bookmarkEnd w:id="29"/>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w:t>
      </w:r>
      <w:proofErr w:type="spellStart"/>
      <w:r w:rsidR="00A85DF8">
        <w:rPr>
          <w:rFonts w:ascii="Times New Roman" w:hAnsi="Times New Roman" w:cs="Times New Roman"/>
          <w:sz w:val="20"/>
          <w:szCs w:val="20"/>
          <w:lang w:val="en-US"/>
        </w:rPr>
        <w:t>Dokoumetzidis</w:t>
      </w:r>
      <w:proofErr w:type="spellEnd"/>
      <w:r w:rsidR="00A85DF8">
        <w:rPr>
          <w:rFonts w:ascii="Times New Roman" w:hAnsi="Times New Roman" w:cs="Times New Roman"/>
          <w:sz w:val="20"/>
          <w:szCs w:val="20"/>
          <w:lang w:val="en-US"/>
        </w:rPr>
        <w:t xml:space="preserve"> and </w:t>
      </w:r>
      <w:proofErr w:type="spellStart"/>
      <w:r w:rsidR="00A85DF8">
        <w:rPr>
          <w:rFonts w:ascii="Times New Roman" w:hAnsi="Times New Roman" w:cs="Times New Roman"/>
          <w:sz w:val="20"/>
          <w:szCs w:val="20"/>
          <w:lang w:val="en-US"/>
        </w:rPr>
        <w:t>Macheras</w:t>
      </w:r>
      <w:proofErr w:type="spellEnd"/>
      <w:r w:rsidR="00A85DF8">
        <w:rPr>
          <w:rFonts w:ascii="Times New Roman" w:hAnsi="Times New Roman" w:cs="Times New Roman"/>
          <w:sz w:val="20"/>
          <w:szCs w:val="20"/>
          <w:lang w:val="en-US"/>
        </w:rPr>
        <w:t xml:space="preserve">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t>
      </w:r>
      <w:r w:rsidR="00CA2091" w:rsidRPr="00CA6505">
        <w:rPr>
          <w:rFonts w:ascii="Times New Roman" w:eastAsiaTheme="minorEastAsia" w:hAnsi="Times New Roman" w:cs="Times New Roman"/>
          <w:sz w:val="20"/>
          <w:szCs w:val="20"/>
          <w:lang w:val="en-US"/>
        </w:rPr>
        <w:lastRenderedPageBreak/>
        <w:t xml:space="preserve">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w:t>
      </w:r>
      <w:proofErr w:type="gramStart"/>
      <w:r w:rsidR="00CA2091" w:rsidRPr="00CA6505">
        <w:rPr>
          <w:rFonts w:ascii="Times New Roman" w:eastAsiaTheme="minorEastAsia" w:hAnsi="Times New Roman" w:cs="Times New Roman"/>
          <w:sz w:val="20"/>
          <w:szCs w:val="20"/>
          <w:lang w:val="en-US"/>
        </w:rPr>
        <w:t>and also</w:t>
      </w:r>
      <w:proofErr w:type="gramEnd"/>
      <w:r w:rsidR="00CA2091" w:rsidRPr="00CA6505">
        <w:rPr>
          <w:rFonts w:ascii="Times New Roman" w:eastAsiaTheme="minorEastAsia" w:hAnsi="Times New Roman" w:cs="Times New Roman"/>
          <w:sz w:val="20"/>
          <w:szCs w:val="20"/>
          <w:lang w:val="en-US"/>
        </w:rPr>
        <w:t xml:space="preserve">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31</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30" w:name="_Toc493890747"/>
      <w:r w:rsidRPr="00634AD5">
        <w:t>Classes of considered models</w:t>
      </w:r>
      <w:bookmarkEnd w:id="30"/>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1"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1"/>
      <w:r w:rsidRPr="00CA6505">
        <w:rPr>
          <w:rFonts w:ascii="Times New Roman" w:hAnsi="Times New Roman" w:cs="Times New Roman"/>
          <w:i w:val="0"/>
          <w:color w:val="auto"/>
          <w:sz w:val="20"/>
          <w:szCs w:val="20"/>
          <w:lang w:val="en-US"/>
        </w:rPr>
        <w:t xml:space="preserve">. </w:t>
      </w:r>
      <w:bookmarkStart w:id="32" w:name="_Ref440915913"/>
      <w:r w:rsidRPr="00CA6505">
        <w:rPr>
          <w:rFonts w:ascii="Times New Roman" w:hAnsi="Times New Roman" w:cs="Times New Roman"/>
          <w:i w:val="0"/>
          <w:color w:val="auto"/>
          <w:sz w:val="20"/>
          <w:szCs w:val="20"/>
          <w:lang w:val="en-US"/>
        </w:rPr>
        <w:t>Classes of considered models</w:t>
      </w:r>
      <w:bookmarkEnd w:id="32"/>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9E61E8" w:rsidRPr="009E61E8">
        <w:rPr>
          <w:rFonts w:ascii="Times New Roman" w:hAnsi="Times New Roman" w:cs="Times New Roman"/>
          <w:sz w:val="20"/>
          <w:szCs w:val="20"/>
          <w:lang w:val="en-US"/>
        </w:rPr>
        <w:t>31</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3" w:name="_Toc493890748"/>
      <w:r w:rsidRPr="00CA6505">
        <w:t>Solution method</w:t>
      </w:r>
      <w:bookmarkEnd w:id="33"/>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or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w:t>
      </w:r>
      <w:proofErr w:type="gramStart"/>
      <w:r w:rsidR="00E23242" w:rsidRPr="00CA6505">
        <w:rPr>
          <w:rFonts w:ascii="Times New Roman" w:eastAsiaTheme="minorEastAsia" w:hAnsi="Times New Roman" w:cs="Times New Roman"/>
          <w:sz w:val="20"/>
          <w:szCs w:val="20"/>
          <w:lang w:val="en-US"/>
        </w:rPr>
        <w:t>period of time</w:t>
      </w:r>
      <w:proofErr w:type="gramEnd"/>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6102C3"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102C3" w:rsidRPr="00CA6505" w:rsidTr="005C4958">
        <w:tc>
          <w:tcPr>
            <w:tcW w:w="4510" w:type="pct"/>
            <w:vAlign w:val="center"/>
          </w:tcPr>
          <w:p w:rsidR="006102C3" w:rsidRPr="00CA6505" w:rsidRDefault="0004620E" w:rsidP="009934A6">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xml:space="preserve">,  </m:t>
                </m:r>
                <m:r>
                  <w:rPr>
                    <w:rFonts w:ascii="Cambria Math" w:hAnsi="Cambria Math"/>
                  </w:rPr>
                  <m:t>η=</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num>
                      <m:den>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den>
                    </m:f>
                  </m:e>
                </m:d>
              </m:oMath>
            </m:oMathPara>
          </w:p>
        </w:tc>
        <w:tc>
          <w:tcPr>
            <w:tcW w:w="490" w:type="pct"/>
            <w:vAlign w:val="center"/>
          </w:tcPr>
          <w:p w:rsidR="006102C3" w:rsidRPr="00CA6505" w:rsidRDefault="006102C3"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23242"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w:t>
      </w:r>
      <w:proofErr w:type="gramStart"/>
      <w:r w:rsidRPr="00CA6505">
        <w:rPr>
          <w:rFonts w:ascii="Times New Roman" w:eastAsiaTheme="minorEastAsia" w:hAnsi="Times New Roman" w:cs="Times New Roman"/>
          <w:sz w:val="20"/>
          <w:szCs w:val="20"/>
          <w:lang w:val="en-US"/>
        </w:rPr>
        <w:t>a number of</w:t>
      </w:r>
      <w:proofErr w:type="gramEnd"/>
      <w:r w:rsidRPr="00CA6505">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Pr="00CA6505">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is the final concentration of non-chiral substance </w:t>
      </w:r>
      <m:oMath>
        <m:r>
          <w:rPr>
            <w:rFonts w:ascii="Cambria Math" w:hAnsi="Cambria Math" w:cs="Times New Roman"/>
            <w:sz w:val="20"/>
            <w:szCs w:val="20"/>
          </w:rPr>
          <m:t>Y</m:t>
        </m:r>
      </m:oMath>
      <w:r w:rsidRPr="00CA6505">
        <w:rPr>
          <w:rFonts w:ascii="Times New Roman" w:eastAsiaTheme="minorEastAsia" w:hAnsi="Times New Roman" w:cs="Times New Roman"/>
          <w:sz w:val="20"/>
          <w:szCs w:val="20"/>
          <w:lang w:val="en-US"/>
        </w:rPr>
        <w:t xml:space="preserve">. </w:t>
      </w:r>
      <w:r w:rsidR="00E23242" w:rsidRPr="00CA6505">
        <w:rPr>
          <w:rFonts w:ascii="Times New Roman" w:eastAsiaTheme="minorEastAsia" w:hAnsi="Times New Roman" w:cs="Times New Roman"/>
          <w:sz w:val="20"/>
          <w:szCs w:val="20"/>
          <w:lang w:val="en-US"/>
        </w:rPr>
        <w:t>The 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23242" w:rsidRPr="00CA6505" w:rsidTr="005C4958">
        <w:tc>
          <w:tcPr>
            <w:tcW w:w="4510" w:type="pct"/>
            <w:vAlign w:val="center"/>
          </w:tcPr>
          <w:p w:rsidR="00E23242" w:rsidRPr="00CA6505" w:rsidRDefault="0004620E" w:rsidP="00E23242">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ρ</m:t>
                        </m:r>
                      </m:e>
                      <m:sub>
                        <m:r>
                          <w:rPr>
                            <w:rFonts w:ascii="Cambria Math" w:hAnsi="Cambria Math"/>
                          </w:rPr>
                          <m:t>Y</m:t>
                        </m:r>
                      </m:sub>
                    </m:sSub>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oMath>
            </m:oMathPara>
          </w:p>
        </w:tc>
        <w:tc>
          <w:tcPr>
            <w:tcW w:w="490" w:type="pct"/>
            <w:vAlign w:val="center"/>
          </w:tcPr>
          <w:p w:rsidR="00E23242" w:rsidRPr="00CA6505" w:rsidRDefault="00E23242"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B30436">
      <w:pPr>
        <w:jc w:val="both"/>
        <w:rPr>
          <w:rFonts w:ascii="Times New Roman" w:eastAsiaTheme="minorEastAsia" w:hAnsi="Times New Roman" w:cs="Times New Roman"/>
          <w:sz w:val="20"/>
          <w:szCs w:val="20"/>
          <w:lang w:val="en-US"/>
        </w:rPr>
      </w:pPr>
    </w:p>
    <w:p w:rsidR="00DC3B6B" w:rsidRPr="00CA6505" w:rsidRDefault="00D873B7" w:rsidP="00B3043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E23242" w:rsidRPr="00CA6505">
        <w:rPr>
          <w:rFonts w:ascii="Times New Roman" w:eastAsiaTheme="minorEastAsia" w:hAnsi="Times New Roman" w:cs="Times New Roman"/>
          <w:sz w:val="20"/>
          <w:szCs w:val="20"/>
          <w:lang w:val="en-US"/>
        </w:rPr>
        <w:t>s</w:t>
      </w:r>
      <w:r w:rsidR="00D23BE1" w:rsidRPr="00CA6505">
        <w:rPr>
          <w:rFonts w:ascii="Times New Roman" w:eastAsiaTheme="minorEastAsia" w:hAnsi="Times New Roman" w:cs="Times New Roman"/>
          <w:sz w:val="20"/>
          <w:szCs w:val="20"/>
          <w:lang w:val="en-US"/>
        </w:rPr>
        <w:t xml:space="preserve"> the</w:t>
      </w:r>
      <w:r w:rsidR="00E23242" w:rsidRPr="00CA6505">
        <w:rPr>
          <w:rFonts w:ascii="Times New Roman" w:eastAsiaTheme="minorEastAsia" w:hAnsi="Times New Roman" w:cs="Times New Roman"/>
          <w:sz w:val="20"/>
          <w:szCs w:val="20"/>
          <w:lang w:val="en-US"/>
        </w:rPr>
        <w:t xml:space="preserve"> integral of motion. </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 xml:space="preserve">GNU </w:t>
      </w:r>
      <w:proofErr w:type="gramStart"/>
      <w:r w:rsidR="00885361" w:rsidRPr="00974D4E">
        <w:rPr>
          <w:rFonts w:ascii="Times New Roman" w:eastAsiaTheme="minorEastAsia" w:hAnsi="Times New Roman" w:cs="Times New Roman"/>
          <w:sz w:val="20"/>
          <w:szCs w:val="20"/>
          <w:lang w:val="en-US"/>
        </w:rPr>
        <w:t>General Public</w:t>
      </w:r>
      <w:proofErr w:type="gramEnd"/>
      <w:r w:rsidR="00885361" w:rsidRPr="00974D4E">
        <w:rPr>
          <w:rFonts w:ascii="Times New Roman" w:eastAsiaTheme="minorEastAsia" w:hAnsi="Times New Roman" w:cs="Times New Roman"/>
          <w:sz w:val="20"/>
          <w:szCs w:val="20"/>
          <w:lang w:val="en-US"/>
        </w:rPr>
        <w:t xml:space="preserve">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4" w:name="_Toc493890749"/>
      <w:r w:rsidRPr="00CA6505">
        <w:lastRenderedPageBreak/>
        <w:t>Symmetry breaking in the models with peptides up to length 5, catalytic synthesis of amino acids and simplified sedimentation</w:t>
      </w:r>
      <w:bookmarkEnd w:id="34"/>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proofErr w:type="gramStart"/>
      <w:r w:rsidR="004032DD" w:rsidRPr="00CA6505">
        <w:rPr>
          <w:rFonts w:ascii="Times New Roman" w:eastAsiaTheme="minorEastAsia" w:hAnsi="Times New Roman" w:cs="Times New Roman"/>
          <w:sz w:val="20"/>
          <w:szCs w:val="20"/>
          <w:lang w:val="en-US"/>
        </w:rPr>
        <w:t>In particular, with</w:t>
      </w:r>
      <w:proofErr w:type="gramEnd"/>
      <w:r w:rsidR="004032DD" w:rsidRPr="00CA6505">
        <w:rPr>
          <w:rFonts w:ascii="Times New Roman" w:eastAsiaTheme="minorEastAsia" w:hAnsi="Times New Roman" w:cs="Times New Roman"/>
          <w:sz w:val="20"/>
          <w:szCs w:val="20"/>
          <w:lang w:val="en-US"/>
        </w:rPr>
        <w:t xml:space="preserve">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5"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5"/>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620E"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620E"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620E"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04620E"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w:t>
      </w:r>
      <w:proofErr w:type="gramStart"/>
      <w:r w:rsidRPr="00CA6505">
        <w:rPr>
          <w:rFonts w:ascii="Times New Roman" w:eastAsia="Times New Roman" w:hAnsi="Times New Roman" w:cs="Times New Roman"/>
          <w:color w:val="000000"/>
          <w:sz w:val="20"/>
          <w:szCs w:val="20"/>
          <w:lang w:val="en-US"/>
        </w:rPr>
        <w:t>both of these</w:t>
      </w:r>
      <w:proofErr w:type="gramEnd"/>
      <w:r w:rsidRPr="00CA6505">
        <w:rPr>
          <w:rFonts w:ascii="Times New Roman" w:eastAsia="Times New Roman" w:hAnsi="Times New Roman" w:cs="Times New Roman"/>
          <w:color w:val="000000"/>
          <w:sz w:val="20"/>
          <w:szCs w:val="20"/>
          <w:lang w:val="en-US"/>
        </w:rPr>
        <w:t xml:space="preserv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9E61E8">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6"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6"/>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proofErr w:type="gramStart"/>
      <w:r>
        <w:rPr>
          <w:rFonts w:ascii="Times New Roman" w:eastAsiaTheme="minorEastAsia" w:hAnsi="Times New Roman" w:cs="Times New Roman"/>
          <w:sz w:val="20"/>
          <w:szCs w:val="20"/>
          <w:lang w:val="en-US"/>
        </w:rPr>
        <w:t>Taking into account</w:t>
      </w:r>
      <w:proofErr w:type="gramEnd"/>
      <w:r>
        <w:rPr>
          <w:rFonts w:ascii="Times New Roman" w:eastAsiaTheme="minorEastAsia" w:hAnsi="Times New Roman" w:cs="Times New Roman"/>
          <w:sz w:val="20"/>
          <w:szCs w:val="20"/>
          <w:lang w:val="en-US"/>
        </w:rPr>
        <w:t xml:space="preserve">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w:t>
      </w:r>
      <w:proofErr w:type="gramStart"/>
      <w:r w:rsidR="00994029" w:rsidRPr="00CA6505">
        <w:rPr>
          <w:rFonts w:ascii="Times New Roman" w:eastAsiaTheme="minorEastAsia" w:hAnsi="Times New Roman" w:cs="Times New Roman"/>
          <w:sz w:val="20"/>
          <w:szCs w:val="20"/>
          <w:lang w:val="en-US"/>
        </w:rPr>
        <w:t>cube</w:t>
      </w:r>
      <w:proofErr w:type="gramEnd"/>
      <w:r w:rsidR="00994029" w:rsidRPr="00CA6505">
        <w:rPr>
          <w:rFonts w:ascii="Times New Roman" w:eastAsiaTheme="minorEastAsia" w:hAnsi="Times New Roman" w:cs="Times New Roman"/>
          <w:sz w:val="20"/>
          <w:szCs w:val="20"/>
          <w:lang w:val="en-US"/>
        </w:rPr>
        <w:t xml:space="preserv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7" w:name="_Toc493890750"/>
      <w:r w:rsidRPr="00CA6505">
        <w:t xml:space="preserve">Symmetry breaking </w:t>
      </w:r>
      <w:r>
        <w:t>without catalytic synthesis</w:t>
      </w:r>
      <w:bookmarkEnd w:id="37"/>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proofErr w:type="spellStart"/>
      <w:r w:rsidR="00006B04">
        <w:rPr>
          <w:rFonts w:ascii="Times New Roman" w:eastAsiaTheme="minorEastAsia" w:hAnsi="Times New Roman" w:cs="Times New Roman"/>
          <w:sz w:val="20"/>
          <w:szCs w:val="20"/>
          <w:lang w:val="en-US"/>
        </w:rPr>
        <w:t>ee</w:t>
      </w:r>
      <w:proofErr w:type="spellEnd"/>
      <w:r w:rsidR="00006B04">
        <w:rPr>
          <w:rFonts w:ascii="Times New Roman" w:eastAsiaTheme="minorEastAsia" w:hAnsi="Times New Roman" w:cs="Times New Roman"/>
          <w:sz w:val="20"/>
          <w:szCs w:val="20"/>
          <w:lang w:val="en-US"/>
        </w:rPr>
        <w:t xml:space="preserve"> value and subsequently the redder is the sell, t</w:t>
      </w:r>
      <w:r w:rsidR="00715079">
        <w:rPr>
          <w:rFonts w:ascii="Times New Roman" w:eastAsiaTheme="minorEastAsia" w:hAnsi="Times New Roman" w:cs="Times New Roman"/>
          <w:sz w:val="20"/>
          <w:szCs w:val="20"/>
          <w:lang w:val="en-US"/>
        </w:rPr>
        <w:t xml:space="preserve">he lower is the output </w:t>
      </w:r>
      <w:proofErr w:type="spellStart"/>
      <w:r w:rsidR="00715079">
        <w:rPr>
          <w:rFonts w:ascii="Times New Roman" w:eastAsiaTheme="minorEastAsia" w:hAnsi="Times New Roman" w:cs="Times New Roman"/>
          <w:sz w:val="20"/>
          <w:szCs w:val="20"/>
          <w:lang w:val="en-US"/>
        </w:rPr>
        <w:t>ee</w:t>
      </w:r>
      <w:proofErr w:type="spellEnd"/>
      <w:r w:rsidR="00715079">
        <w:rPr>
          <w:rFonts w:ascii="Times New Roman" w:eastAsiaTheme="minorEastAsia" w:hAnsi="Times New Roman" w:cs="Times New Roman"/>
          <w:sz w:val="20"/>
          <w:szCs w:val="20"/>
          <w:lang w:val="en-US"/>
        </w:rPr>
        <w:t xml:space="preserve"> value</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proofErr w:type="spellStart"/>
      <w:r w:rsidR="0040391F">
        <w:rPr>
          <w:rFonts w:ascii="Times New Roman" w:eastAsiaTheme="minorEastAsia" w:hAnsi="Times New Roman" w:cs="Times New Roman"/>
          <w:sz w:val="20"/>
          <w:szCs w:val="20"/>
          <w:lang w:val="en-US"/>
        </w:rPr>
        <w:t>ee</w:t>
      </w:r>
      <w:proofErr w:type="spellEnd"/>
      <w:r w:rsidR="0040391F">
        <w:rPr>
          <w:rFonts w:ascii="Times New Roman" w:eastAsiaTheme="minorEastAsia" w:hAnsi="Times New Roman" w:cs="Times New Roman"/>
          <w:sz w:val="20"/>
          <w:szCs w:val="20"/>
          <w:lang w:val="en-US"/>
        </w:rPr>
        <w:t xml:space="preserve"> 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8" w:name="_Ref493103389"/>
      <w:bookmarkStart w:id="39"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8"/>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9"/>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lastRenderedPageBreak/>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 xml:space="preserve">total number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Pr>
          <w:rFonts w:ascii="Times New Roman" w:eastAsia="Times New Roman" w:hAnsi="Times New Roman" w:cs="Times New Roman"/>
          <w:lang w:val="en-US"/>
        </w:rPr>
        <w:t xml:space="preserve"> is</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04620E"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w:t>
      </w:r>
      <w:proofErr w:type="gramStart"/>
      <w:r w:rsidRPr="00CA6505">
        <w:rPr>
          <w:rFonts w:ascii="Times New Roman" w:eastAsiaTheme="minorEastAsia" w:hAnsi="Times New Roman" w:cs="Times New Roman"/>
          <w:sz w:val="20"/>
          <w:szCs w:val="20"/>
          <w:lang w:val="en-US"/>
        </w:rPr>
        <w:t>a number of</w:t>
      </w:r>
      <w:proofErr w:type="gramEnd"/>
      <w:r w:rsidRPr="00CA6505">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04620E"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034189" w:rsidRPr="007B1B55"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r w:rsidR="007B719E" w:rsidRPr="007B1B55">
        <w:rPr>
          <w:rFonts w:ascii="Times New Roman" w:eastAsia="Times New Roman" w:hAnsi="Times New Roman" w:cs="Times New Roman"/>
          <w:color w:val="000000"/>
          <w:sz w:val="20"/>
          <w:szCs w:val="20"/>
          <w:lang w:val="en-US"/>
        </w:rPr>
        <w:t xml:space="preserve">An interesting question becomes why shorter pairs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w:r w:rsidR="007B1B55" w:rsidRPr="007B1B55">
        <w:rPr>
          <w:rFonts w:ascii="Times New Roman" w:eastAsiaTheme="minorEastAsia" w:hAnsi="Times New Roman" w:cs="Times New Roman"/>
          <w:sz w:val="20"/>
          <w:szCs w:val="20"/>
          <w:lang w:val="en-US"/>
        </w:rPr>
        <w:t xml:space="preserve">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02292C" w:rsidP="00BC2CF8">
      <w:pPr>
        <w:jc w:val="both"/>
        <w:rPr>
          <w:rFonts w:ascii="Times New Roman" w:hAnsi="Times New Roman" w:cs="Times New Roman"/>
          <w:sz w:val="20"/>
          <w:szCs w:val="20"/>
          <w:lang w:val="en-US"/>
        </w:rPr>
      </w:pPr>
      <w:r w:rsidRPr="00E04452">
        <w:rPr>
          <w:rFonts w:ascii="Times New Roman" w:hAnsi="Times New Roman" w:cs="Times New Roman"/>
          <w:sz w:val="20"/>
          <w:szCs w:val="20"/>
          <w:highlight w:val="magenta"/>
          <w:lang w:val="en-US"/>
        </w:rPr>
        <w:lastRenderedPageBreak/>
        <w:t xml:space="preserve">Where </w:t>
      </w:r>
      <m:oMath>
        <m:sSub>
          <m:sSubPr>
            <m:ctrlPr>
              <w:rPr>
                <w:rFonts w:ascii="Cambria Math" w:eastAsia="Times New Roman" w:hAnsi="Cambria Math"/>
                <w:color w:val="000000"/>
                <w:sz w:val="20"/>
                <w:szCs w:val="20"/>
                <w:highlight w:val="magenta"/>
              </w:rPr>
            </m:ctrlPr>
          </m:sSubPr>
          <m:e>
            <m:r>
              <m:rPr>
                <m:sty m:val="p"/>
              </m:rPr>
              <w:rPr>
                <w:rFonts w:ascii="Cambria Math" w:eastAsia="Times New Roman" w:hAnsi="Cambria Math"/>
                <w:color w:val="000000"/>
                <w:sz w:val="20"/>
                <w:szCs w:val="20"/>
                <w:highlight w:val="magenta"/>
              </w:rPr>
              <m:t>Λ</m:t>
            </m:r>
          </m:e>
          <m:sub>
            <m:r>
              <m:rPr>
                <m:sty m:val="p"/>
              </m:rPr>
              <w:rPr>
                <w:rFonts w:ascii="Cambria Math" w:eastAsia="Times New Roman" w:hAnsi="Cambria Math"/>
                <w:color w:val="000000"/>
                <w:sz w:val="20"/>
                <w:szCs w:val="20"/>
                <w:highlight w:val="magenta"/>
                <w:lang w:val="en-US"/>
              </w:rPr>
              <m:t>+</m:t>
            </m:r>
          </m:sub>
        </m:sSub>
      </m:oMath>
      <w:r w:rsidR="00481523" w:rsidRPr="00E04452">
        <w:rPr>
          <w:rFonts w:ascii="Times New Roman" w:hAnsi="Times New Roman" w:cs="Times New Roman"/>
          <w:sz w:val="20"/>
          <w:szCs w:val="20"/>
          <w:highlight w:val="magenta"/>
          <w:lang w:val="en-US"/>
        </w:rPr>
        <w:t xml:space="preserve"> / </w:t>
      </w:r>
      <m:oMath>
        <m:sSub>
          <m:sSubPr>
            <m:ctrlPr>
              <w:rPr>
                <w:rFonts w:ascii="Cambria Math" w:eastAsia="Times New Roman" w:hAnsi="Cambria Math"/>
                <w:color w:val="000000"/>
                <w:sz w:val="20"/>
                <w:szCs w:val="20"/>
                <w:highlight w:val="magenta"/>
              </w:rPr>
            </m:ctrlPr>
          </m:sSubPr>
          <m:e>
            <m:r>
              <m:rPr>
                <m:sty m:val="p"/>
              </m:rPr>
              <w:rPr>
                <w:rFonts w:ascii="Cambria Math" w:eastAsia="Times New Roman" w:hAnsi="Cambria Math"/>
                <w:color w:val="000000"/>
                <w:sz w:val="20"/>
                <w:szCs w:val="20"/>
                <w:highlight w:val="magenta"/>
              </w:rPr>
              <m:t>Λ</m:t>
            </m:r>
          </m:e>
          <m:sub>
            <m:r>
              <m:rPr>
                <m:sty m:val="p"/>
              </m:rPr>
              <w:rPr>
                <w:rFonts w:ascii="Cambria Math" w:eastAsia="Times New Roman" w:hAnsi="Cambria Math"/>
                <w:color w:val="000000"/>
                <w:sz w:val="20"/>
                <w:szCs w:val="20"/>
                <w:highlight w:val="magenta"/>
                <w:lang w:val="en-US"/>
              </w:rPr>
              <m:t>-</m:t>
            </m:r>
          </m:sub>
        </m:sSub>
      </m:oMath>
      <w:r w:rsidR="00481523" w:rsidRPr="00E04452">
        <w:rPr>
          <w:rFonts w:ascii="Times New Roman" w:eastAsiaTheme="minorEastAsia" w:hAnsi="Times New Roman" w:cs="Times New Roman"/>
          <w:color w:val="000000"/>
          <w:sz w:val="20"/>
          <w:szCs w:val="20"/>
          <w:highlight w:val="magenta"/>
          <w:lang w:val="en-US"/>
        </w:rPr>
        <w:t xml:space="preserve"> are the rates of forward / backward ligation reactions, </w:t>
      </w:r>
      <m:oMath>
        <m:sSub>
          <m:sSubPr>
            <m:ctrlPr>
              <w:rPr>
                <w:rFonts w:ascii="Cambria Math" w:eastAsia="Times New Roman" w:hAnsi="Cambria Math"/>
                <w:i/>
                <w:color w:val="000000"/>
                <w:sz w:val="20"/>
                <w:szCs w:val="20"/>
                <w:highlight w:val="magenta"/>
              </w:rPr>
            </m:ctrlPr>
          </m:sSubPr>
          <m:e>
            <m:r>
              <w:rPr>
                <w:rFonts w:ascii="Cambria Math" w:eastAsia="Times New Roman" w:hAnsi="Cambria Math"/>
                <w:color w:val="000000"/>
                <w:sz w:val="20"/>
                <w:szCs w:val="20"/>
                <w:highlight w:val="magenta"/>
              </w:rPr>
              <m:t>ε</m:t>
            </m:r>
          </m:e>
          <m:sub>
            <m:r>
              <w:rPr>
                <w:rFonts w:ascii="Cambria Math" w:eastAsia="Times New Roman" w:hAnsi="Cambria Math"/>
                <w:color w:val="000000"/>
                <w:sz w:val="20"/>
                <w:szCs w:val="20"/>
                <w:highlight w:val="magenta"/>
                <w:lang w:val="en-US"/>
              </w:rPr>
              <m:t>-</m:t>
            </m:r>
          </m:sub>
        </m:sSub>
      </m:oMath>
      <w:r w:rsidR="00481523" w:rsidRPr="00E04452">
        <w:rPr>
          <w:rFonts w:ascii="Times New Roman" w:eastAsiaTheme="minorEastAsia" w:hAnsi="Times New Roman" w:cs="Times New Roman"/>
          <w:color w:val="000000"/>
          <w:sz w:val="20"/>
          <w:szCs w:val="20"/>
          <w:highlight w:val="magenta"/>
          <w:lang w:val="en-US"/>
        </w:rPr>
        <w:t xml:space="preserve"> is</w:t>
      </w:r>
      <w:r w:rsidR="00DE0852" w:rsidRPr="00E04452">
        <w:rPr>
          <w:rFonts w:ascii="Times New Roman" w:eastAsiaTheme="minorEastAsia" w:hAnsi="Times New Roman" w:cs="Times New Roman"/>
          <w:color w:val="000000"/>
          <w:sz w:val="20"/>
          <w:szCs w:val="20"/>
          <w:highlight w:val="magenta"/>
          <w:lang w:val="en-US"/>
        </w:rPr>
        <w:t xml:space="preserve"> the rate of direct sedimentation "reaction"</w:t>
      </w:r>
      <w:r w:rsidR="00481523">
        <w:rPr>
          <w:rFonts w:ascii="Times New Roman" w:eastAsiaTheme="minorEastAsia" w:hAnsi="Times New Roman" w:cs="Times New Roman"/>
          <w:color w:val="000000"/>
          <w:sz w:val="20"/>
          <w:szCs w:val="20"/>
          <w:lang w:val="en-US"/>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A</m:t>
            </m:r>
          </m:sub>
        </m:sSub>
      </m:oMath>
      <w:r w:rsidR="00DE0852">
        <w:rPr>
          <w:rFonts w:ascii="Times New Roman" w:eastAsiaTheme="minorEastAsia" w:hAnsi="Times New Roman" w:cs="Times New Roman"/>
          <w:sz w:val="20"/>
          <w:szCs w:val="20"/>
          <w:lang w:val="en-US"/>
        </w:rPr>
        <w:t xml:space="preserve"> is the equilibrium </w:t>
      </w:r>
      <w:r w:rsidR="00DE0852" w:rsidRPr="00783D3D">
        <w:rPr>
          <w:rFonts w:ascii="Times New Roman" w:eastAsiaTheme="minorEastAsia" w:hAnsi="Times New Roman" w:cs="Times New Roman"/>
          <w:sz w:val="20"/>
          <w:szCs w:val="20"/>
          <w:lang w:val="en-US"/>
        </w:rPr>
        <w:t>concentration</w:t>
      </w:r>
      <w:r w:rsidR="00DE0852">
        <w:rPr>
          <w:rFonts w:ascii="Times New Roman" w:eastAsiaTheme="minorEastAsia" w:hAnsi="Times New Roman" w:cs="Times New Roman"/>
          <w:sz w:val="20"/>
          <w:szCs w:val="20"/>
          <w:lang w:val="en-US"/>
        </w:rPr>
        <w:t xml:space="preserve"> of </w:t>
      </w:r>
      <w:r w:rsidR="00783D3D">
        <w:rPr>
          <w:rFonts w:ascii="Times New Roman" w:eastAsiaTheme="minorEastAsia" w:hAnsi="Times New Roman" w:cs="Times New Roman"/>
          <w:sz w:val="20"/>
          <w:szCs w:val="20"/>
          <w:lang w:val="en-US"/>
        </w:rPr>
        <w:t>amino acids</w:t>
      </w:r>
      <w:r>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Performing analysis of the roots of characteristic equation</w:t>
      </w:r>
      <w:r w:rsidR="000626D8">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sidR="00BA7F0E">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no symmetry breaking can occur in such model.</w:t>
      </w:r>
    </w:p>
    <w:p w:rsidR="00CF477E" w:rsidRDefault="00962A56"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Nonlinearity of the models increases going from model </w:t>
      </w:r>
      <w:r w:rsidRPr="009E04A4">
        <w:rPr>
          <w:rFonts w:ascii="Times New Roman" w:eastAsia="Times New Roman" w:hAnsi="Times New Roman" w:cs="Times New Roman"/>
          <w:color w:val="000000"/>
          <w:sz w:val="20"/>
          <w:szCs w:val="20"/>
          <w:lang w:val="en-US"/>
        </w:rPr>
        <w:t>NA100</w:t>
      </w:r>
      <w:r>
        <w:rPr>
          <w:rFonts w:ascii="Times New Roman" w:eastAsia="Times New Roman" w:hAnsi="Times New Roman" w:cs="Times New Roman"/>
          <w:color w:val="000000"/>
          <w:sz w:val="20"/>
          <w:szCs w:val="20"/>
          <w:lang w:val="en-US"/>
        </w:rPr>
        <w:t xml:space="preserve"> to </w:t>
      </w:r>
      <w:r w:rsidRPr="009E04A4">
        <w:rPr>
          <w:rFonts w:ascii="Times New Roman" w:eastAsia="Times New Roman" w:hAnsi="Times New Roman" w:cs="Times New Roman"/>
          <w:color w:val="000000"/>
          <w:sz w:val="20"/>
          <w:szCs w:val="20"/>
          <w:lang w:val="en-US"/>
        </w:rPr>
        <w:t>NA030</w:t>
      </w:r>
      <w:r>
        <w:rPr>
          <w:rFonts w:ascii="Times New Roman" w:eastAsia="Times New Roman" w:hAnsi="Times New Roman" w:cs="Times New Roman"/>
          <w:color w:val="000000"/>
          <w:sz w:val="20"/>
          <w:szCs w:val="20"/>
          <w:lang w:val="en-US"/>
        </w:rPr>
        <w:t xml:space="preserve"> and similarly from model </w:t>
      </w:r>
      <w:r w:rsidRPr="009E04A4">
        <w:rPr>
          <w:rFonts w:ascii="Times New Roman" w:eastAsia="Times New Roman" w:hAnsi="Times New Roman" w:cs="Times New Roman"/>
          <w:color w:val="000000"/>
          <w:sz w:val="20"/>
          <w:szCs w:val="20"/>
          <w:lang w:val="en-US"/>
        </w:rPr>
        <w:t>A100</w:t>
      </w:r>
      <w:r>
        <w:rPr>
          <w:rFonts w:ascii="Times New Roman" w:eastAsia="Times New Roman" w:hAnsi="Times New Roman" w:cs="Times New Roman"/>
          <w:color w:val="000000"/>
          <w:sz w:val="20"/>
          <w:szCs w:val="20"/>
          <w:lang w:val="en-US"/>
        </w:rPr>
        <w:t xml:space="preserve"> to model A044.</w:t>
      </w:r>
      <w:r w:rsidR="007F362D">
        <w:rPr>
          <w:rFonts w:ascii="Times New Roman" w:eastAsia="Times New Roman" w:hAnsi="Times New Roman" w:cs="Times New Roman"/>
          <w:color w:val="000000"/>
          <w:sz w:val="20"/>
          <w:szCs w:val="20"/>
          <w:lang w:val="en-US"/>
        </w:rPr>
        <w:t xml:space="preserve"> Subsequently</w:t>
      </w:r>
      <w:r w:rsidR="002B503D">
        <w:rPr>
          <w:rFonts w:ascii="Times New Roman" w:eastAsia="Times New Roman" w:hAnsi="Times New Roman" w:cs="Times New Roman"/>
          <w:color w:val="000000"/>
          <w:sz w:val="20"/>
          <w:szCs w:val="20"/>
          <w:lang w:val="en-US"/>
        </w:rPr>
        <w:t>,</w:t>
      </w:r>
      <w:r w:rsidR="007F362D">
        <w:rPr>
          <w:rFonts w:ascii="Times New Roman" w:eastAsia="Times New Roman" w:hAnsi="Times New Roman" w:cs="Times New Roman"/>
          <w:color w:val="000000"/>
          <w:sz w:val="20"/>
          <w:szCs w:val="20"/>
          <w:lang w:val="en-US"/>
        </w:rPr>
        <w:t xml:space="preserve"> larger number of longer pairs starts to produce symmetry breaking</w:t>
      </w:r>
      <w:r w:rsidR="00630D53">
        <w:rPr>
          <w:rFonts w:ascii="Times New Roman" w:eastAsia="Times New Roman" w:hAnsi="Times New Roman" w:cs="Times New Roman"/>
          <w:color w:val="000000"/>
          <w:sz w:val="20"/>
          <w:szCs w:val="20"/>
          <w:lang w:val="en-US"/>
        </w:rPr>
        <w:t xml:space="preserve"> in model </w:t>
      </w:r>
      <w:r w:rsidR="00630D53" w:rsidRPr="009E04A4">
        <w:rPr>
          <w:rFonts w:ascii="Times New Roman" w:eastAsia="Times New Roman" w:hAnsi="Times New Roman" w:cs="Times New Roman"/>
          <w:color w:val="000000"/>
          <w:sz w:val="20"/>
          <w:szCs w:val="20"/>
          <w:lang w:val="en-US"/>
        </w:rPr>
        <w:t>NA030</w:t>
      </w:r>
      <w:r w:rsidR="00630D53">
        <w:rPr>
          <w:rFonts w:ascii="Times New Roman" w:eastAsia="Times New Roman" w:hAnsi="Times New Roman" w:cs="Times New Roman"/>
          <w:color w:val="000000"/>
          <w:sz w:val="20"/>
          <w:szCs w:val="20"/>
          <w:lang w:val="en-US"/>
        </w:rPr>
        <w:t xml:space="preserve"> in comparison to model </w:t>
      </w:r>
      <w:r w:rsidR="00630D53" w:rsidRPr="009E04A4">
        <w:rPr>
          <w:rFonts w:ascii="Times New Roman" w:eastAsia="Times New Roman" w:hAnsi="Times New Roman" w:cs="Times New Roman"/>
          <w:color w:val="000000"/>
          <w:sz w:val="20"/>
          <w:szCs w:val="20"/>
          <w:lang w:val="en-US"/>
        </w:rPr>
        <w:t>NA100</w:t>
      </w:r>
      <w:r w:rsidR="00630D53">
        <w:rPr>
          <w:rFonts w:ascii="Times New Roman" w:eastAsia="Times New Roman" w:hAnsi="Times New Roman" w:cs="Times New Roman"/>
          <w:color w:val="000000"/>
          <w:sz w:val="20"/>
          <w:szCs w:val="20"/>
          <w:lang w:val="en-US"/>
        </w:rPr>
        <w:t xml:space="preserve"> and in model A044 in comparison to model </w:t>
      </w:r>
      <w:r w:rsidR="00630D53" w:rsidRPr="009E04A4">
        <w:rPr>
          <w:rFonts w:ascii="Times New Roman" w:eastAsia="Times New Roman" w:hAnsi="Times New Roman" w:cs="Times New Roman"/>
          <w:color w:val="000000"/>
          <w:sz w:val="20"/>
          <w:szCs w:val="20"/>
          <w:lang w:val="en-US"/>
        </w:rPr>
        <w:t>A100</w:t>
      </w:r>
      <w:r w:rsidR="007F362D">
        <w:rPr>
          <w:rFonts w:ascii="Times New Roman" w:eastAsia="Times New Roman" w:hAnsi="Times New Roman" w:cs="Times New Roman"/>
          <w:color w:val="000000"/>
          <w:sz w:val="20"/>
          <w:szCs w:val="20"/>
          <w:lang w:val="en-US"/>
        </w:rPr>
        <w:t xml:space="preserve">. </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w:t>
      </w:r>
      <w:proofErr w:type="gramStart"/>
      <w:r w:rsidRPr="00CA6505">
        <w:rPr>
          <w:rFonts w:ascii="Times New Roman" w:eastAsiaTheme="minorEastAsia" w:hAnsi="Times New Roman" w:cs="Times New Roman"/>
          <w:sz w:val="20"/>
          <w:szCs w:val="20"/>
          <w:lang w:val="en-US"/>
        </w:rPr>
        <w:t>due to the fact that</w:t>
      </w:r>
      <w:proofErr w:type="gramEnd"/>
      <w:r w:rsidRPr="00CA6505">
        <w:rPr>
          <w:rFonts w:ascii="Times New Roman" w:eastAsiaTheme="minorEastAsia" w:hAnsi="Times New Roman" w:cs="Times New Roman"/>
          <w:sz w:val="20"/>
          <w:szCs w:val="20"/>
          <w:lang w:val="en-US"/>
        </w:rPr>
        <w:t xml:space="preserve"> models NA030 and A044 have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larger concentration of longer peptides and therefore longer peptides can have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40" w:name="_Toc493890751"/>
      <w:r w:rsidRPr="00CA6505">
        <w:t xml:space="preserve">Symmetry breaking in the presence of weakly enantioselective </w:t>
      </w:r>
      <w:r>
        <w:t xml:space="preserve">forward </w:t>
      </w:r>
      <w:r w:rsidRPr="00CA6505">
        <w:t>catalytic synthesis</w:t>
      </w:r>
      <w:bookmarkEnd w:id="40"/>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We now "turn on"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w:t>
      </w:r>
      <w:proofErr w:type="gramStart"/>
      <w:r w:rsidR="006F684A" w:rsidRPr="00CA6505">
        <w:rPr>
          <w:rFonts w:ascii="Times New Roman" w:eastAsiaTheme="minorEastAsia" w:hAnsi="Times New Roman" w:cs="Times New Roman"/>
          <w:sz w:val="20"/>
          <w:szCs w:val="20"/>
          <w:lang w:val="en-US"/>
        </w:rPr>
        <w:t>In particular, we</w:t>
      </w:r>
      <w:proofErr w:type="gramEnd"/>
      <w:r w:rsidR="006F684A" w:rsidRPr="00CA6505">
        <w:rPr>
          <w:rFonts w:ascii="Times New Roman" w:eastAsiaTheme="minorEastAsia" w:hAnsi="Times New Roman" w:cs="Times New Roman"/>
          <w:sz w:val="20"/>
          <w:szCs w:val="20"/>
          <w:lang w:val="en-US"/>
        </w:rPr>
        <w:t xml:space="preserv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 xml:space="preserve">catalytic synthesis further, as they do not produce significant chiral symmetry breaking beyond what is produced by the models without catalytic synthesis. Some catalysts may </w:t>
      </w:r>
      <w:proofErr w:type="gramStart"/>
      <w:r w:rsidRPr="00CA6505">
        <w:rPr>
          <w:rFonts w:ascii="Times New Roman" w:eastAsiaTheme="minorEastAsia" w:hAnsi="Times New Roman" w:cs="Times New Roman"/>
          <w:sz w:val="20"/>
          <w:szCs w:val="20"/>
          <w:lang w:val="en-US"/>
        </w:rPr>
        <w:t>actually work</w:t>
      </w:r>
      <w:proofErr w:type="gramEnd"/>
      <w:r w:rsidRPr="00CA6505">
        <w:rPr>
          <w:rFonts w:ascii="Times New Roman" w:eastAsiaTheme="minorEastAsia" w:hAnsi="Times New Roman" w:cs="Times New Roman"/>
          <w:sz w:val="20"/>
          <w:szCs w:val="20"/>
          <w:lang w:val="en-US"/>
        </w:rPr>
        <w:t xml:space="preserve">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It turns out that the "strong"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t>
      </w:r>
      <w:r w:rsidR="00C7429B">
        <w:rPr>
          <w:rFonts w:ascii="Times New Roman" w:eastAsia="Times New Roman" w:hAnsi="Times New Roman" w:cs="Times New Roman"/>
          <w:color w:val="000000"/>
          <w:sz w:val="20"/>
          <w:szCs w:val="20"/>
          <w:lang w:val="en-US"/>
        </w:rPr>
        <w:lastRenderedPageBreak/>
        <w:t xml:space="preserve">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w:t>
      </w:r>
      <w:proofErr w:type="gramStart"/>
      <w:r w:rsidR="00C7429B">
        <w:rPr>
          <w:rFonts w:ascii="Times New Roman" w:eastAsia="Times New Roman" w:hAnsi="Times New Roman" w:cs="Times New Roman"/>
          <w:sz w:val="20"/>
          <w:szCs w:val="20"/>
          <w:lang w:val="en-US"/>
        </w:rPr>
        <w:t>catalyst</w:t>
      </w:r>
      <w:proofErr w:type="gramEnd"/>
      <w:r w:rsidR="00C7429B">
        <w:rPr>
          <w:rFonts w:ascii="Times New Roman" w:eastAsia="Times New Roman" w:hAnsi="Times New Roman" w:cs="Times New Roman"/>
          <w:sz w:val="20"/>
          <w:szCs w:val="20"/>
          <w:lang w:val="en-US"/>
        </w:rPr>
        <w:t xml:space="preserve">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 MERGEFORMAT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w:t>
      </w:r>
      <w:proofErr w:type="gramStart"/>
      <w:r w:rsidR="00D13B5C">
        <w:rPr>
          <w:rFonts w:ascii="Times New Roman" w:eastAsia="Times New Roman" w:hAnsi="Times New Roman" w:cs="Times New Roman"/>
          <w:sz w:val="20"/>
          <w:szCs w:val="20"/>
          <w:lang w:val="en-US"/>
        </w:rPr>
        <w:t>particular model / pair</w:t>
      </w:r>
      <w:proofErr w:type="gramEnd"/>
      <w:r w:rsidR="00D13B5C">
        <w:rPr>
          <w:rFonts w:ascii="Times New Roman" w:eastAsia="Times New Roman" w:hAnsi="Times New Roman" w:cs="Times New Roman"/>
          <w:sz w:val="20"/>
          <w:szCs w:val="20"/>
          <w:lang w:val="en-US"/>
        </w:rPr>
        <w:t xml:space="preserve">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1"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1"/>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lastRenderedPageBreak/>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 MERGEFORMAT </w:instrText>
      </w:r>
      <w:r w:rsidRPr="00FB3459">
        <w:rPr>
          <w:rFonts w:ascii="Times New Roman" w:eastAsia="Times New Roman" w:hAnsi="Times New Roman" w:cs="Times New Roman"/>
          <w:sz w:val="20"/>
          <w:szCs w:val="20"/>
          <w:lang w:val="en-US"/>
        </w:rPr>
      </w:r>
      <w:r w:rsidRPr="00FB3459">
        <w:rPr>
          <w:rFonts w:ascii="Times New Roman" w:eastAsia="Times New Roman" w:hAnsi="Times New Roman" w:cs="Times New Roman"/>
          <w:sz w:val="20"/>
          <w:szCs w:val="20"/>
          <w:lang w:val="en-US"/>
        </w:rPr>
        <w:fldChar w:fldCharType="separate"/>
      </w:r>
      <w:r w:rsidR="009E61E8" w:rsidRPr="009E61E8">
        <w:rPr>
          <w:rFonts w:ascii="Times New Roman" w:hAnsi="Times New Roman" w:cs="Times New Roman"/>
          <w:sz w:val="20"/>
          <w:szCs w:val="20"/>
          <w:lang w:val="en-US"/>
        </w:rPr>
        <w:t xml:space="preserve">Table </w:t>
      </w:r>
      <w:r w:rsidR="009E61E8" w:rsidRPr="009E61E8">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"assists"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“turns off”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2" w:name="_Toc493890752"/>
      <w:r w:rsidRPr="00CA6505">
        <w:lastRenderedPageBreak/>
        <w:t>Symmetry breaking in epimerization based models</w:t>
      </w:r>
      <w:bookmarkEnd w:id="42"/>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proofErr w:type="spellStart"/>
      <w:r w:rsidR="005E32CC" w:rsidRPr="00554341">
        <w:rPr>
          <w:rFonts w:ascii="Times New Roman" w:hAnsi="Times New Roman" w:cs="Times New Roman"/>
          <w:sz w:val="20"/>
          <w:szCs w:val="20"/>
          <w:lang w:val="en-US"/>
        </w:rPr>
        <w:t>Weissbuch</w:t>
      </w:r>
      <w:proofErr w:type="spellEnd"/>
      <w:r w:rsidR="005E32CC" w:rsidRPr="00554341">
        <w:rPr>
          <w:rFonts w:ascii="Times New Roman" w:hAnsi="Times New Roman" w:cs="Times New Roman"/>
          <w:sz w:val="20"/>
          <w:szCs w:val="20"/>
          <w:lang w:val="en-US"/>
        </w:rPr>
        <w:t xml:space="preserve">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_Param"/>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APED2_Eps"/>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2"/>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 xml:space="preserve">Saint-Martin and </w:t>
      </w:r>
      <w:proofErr w:type="spellStart"/>
      <w:r w:rsidR="001B7790" w:rsidRPr="00A3320B">
        <w:rPr>
          <w:rFonts w:ascii="Times New Roman" w:eastAsiaTheme="minorEastAsia" w:hAnsi="Times New Roman" w:cs="Times New Roman"/>
          <w:sz w:val="20"/>
          <w:szCs w:val="20"/>
          <w:lang w:val="en-US"/>
        </w:rPr>
        <w:t>Julg</w:t>
      </w:r>
      <w:proofErr w:type="spellEnd"/>
      <w:r w:rsidR="001B7790" w:rsidRPr="00A3320B">
        <w:rPr>
          <w:rFonts w:ascii="Times New Roman" w:eastAsiaTheme="minorEastAsia" w:hAnsi="Times New Roman" w:cs="Times New Roman"/>
          <w:sz w:val="20"/>
          <w:szCs w:val="20"/>
          <w:lang w:val="en-US"/>
        </w:rPr>
        <w:t xml:space="preserve">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w:t>
      </w:r>
      <w:r w:rsidR="00DF7A6B" w:rsidRPr="00CA6505">
        <w:rPr>
          <w:rFonts w:ascii="Times New Roman" w:hAnsi="Times New Roman" w:cs="Times New Roman"/>
          <w:sz w:val="20"/>
          <w:szCs w:val="20"/>
          <w:lang w:val="en-US"/>
        </w:rPr>
        <w:lastRenderedPageBreak/>
        <w:t xml:space="preserve">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proofErr w:type="gramStart"/>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w:t>
      </w:r>
      <w:proofErr w:type="gramEnd"/>
      <w:r w:rsidR="00DF7A6B" w:rsidRPr="00CA6505">
        <w:rPr>
          <w:rFonts w:ascii="Times New Roman" w:hAnsi="Times New Roman" w:cs="Times New Roman"/>
          <w:sz w:val="20"/>
          <w:szCs w:val="20"/>
          <w:lang w:val="en-US"/>
        </w:rPr>
        <w:t xml:space="preserve">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proofErr w:type="gramStart"/>
      <w:r w:rsidR="00EA63E6" w:rsidRPr="00CA6505">
        <w:rPr>
          <w:rFonts w:ascii="Times New Roman" w:eastAsiaTheme="minorEastAsia" w:hAnsi="Times New Roman" w:cs="Times New Roman"/>
          <w:sz w:val="20"/>
          <w:szCs w:val="20"/>
          <w:lang w:val="en-US"/>
        </w:rPr>
        <w:t>Similar to</w:t>
      </w:r>
      <w:proofErr w:type="gramEnd"/>
      <w:r w:rsidR="00EA63E6" w:rsidRPr="00CA6505">
        <w:rPr>
          <w:rFonts w:ascii="Times New Roman" w:eastAsiaTheme="minorEastAsia" w:hAnsi="Times New Roman" w:cs="Times New Roman"/>
          <w:sz w:val="20"/>
          <w:szCs w:val="20"/>
          <w:lang w:val="en-US"/>
        </w:rPr>
        <w:t xml:space="preserve">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04620E"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39</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04620E"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43</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6" w:name="EQ_M_APED_3"/>
            <w:r w:rsidRPr="00CA6505">
              <w:rPr>
                <w:sz w:val="20"/>
              </w:rPr>
              <w:fldChar w:fldCharType="begin"/>
            </w:r>
            <w:r w:rsidRPr="00CA6505">
              <w:rPr>
                <w:sz w:val="20"/>
              </w:rPr>
              <w:instrText xml:space="preserve"> AUTONUMLGL  \e </w:instrText>
            </w:r>
            <w:r w:rsidRPr="00CA6505">
              <w:rPr>
                <w:sz w:val="20"/>
              </w:rPr>
              <w:fldChar w:fldCharType="end"/>
            </w:r>
            <w:bookmarkEnd w:id="46"/>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proofErr w:type="gramStart"/>
      <w:r w:rsidR="00DF7A6B" w:rsidRPr="00CA6505">
        <w:rPr>
          <w:rFonts w:ascii="Times New Roman" w:hAnsi="Times New Roman" w:cs="Times New Roman"/>
          <w:sz w:val="20"/>
          <w:szCs w:val="20"/>
          <w:lang w:val="en-US"/>
        </w:rPr>
        <w:t>Similar to</w:t>
      </w:r>
      <w:proofErr w:type="gramEnd"/>
      <w:r w:rsidR="00DF7A6B" w:rsidRPr="00CA6505">
        <w:rPr>
          <w:rFonts w:ascii="Times New Roman" w:hAnsi="Times New Roman" w:cs="Times New Roman"/>
          <w:sz w:val="20"/>
          <w:szCs w:val="20"/>
          <w:lang w:val="en-US"/>
        </w:rPr>
        <w:t xml:space="preserve">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572CF9"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9E61E8">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8"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9E61E8">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8"/>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w:t>
      </w:r>
      <w:proofErr w:type="spellStart"/>
      <w:r w:rsidR="00DF7A6B" w:rsidRPr="00CA6505">
        <w:rPr>
          <w:rFonts w:ascii="Times New Roman" w:eastAsiaTheme="minorEastAsia" w:hAnsi="Times New Roman" w:cs="Times New Roman"/>
          <w:sz w:val="20"/>
          <w:szCs w:val="20"/>
          <w:lang w:val="en-US"/>
        </w:rPr>
        <w:t>nnot</w:t>
      </w:r>
      <w:proofErr w:type="spellEnd"/>
      <w:r w:rsidR="00DF7A6B" w:rsidRPr="00CA6505">
        <w:rPr>
          <w:rFonts w:ascii="Times New Roman" w:eastAsiaTheme="minorEastAsia" w:hAnsi="Times New Roman" w:cs="Times New Roman"/>
          <w:sz w:val="20"/>
          <w:szCs w:val="20"/>
          <w:lang w:val="en-US"/>
        </w:rPr>
        <w:t xml:space="preserve">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9" w:name="_Toc493890753"/>
      <w:r w:rsidRPr="00CA6505">
        <w:t>Symmetry breaking in APED models in the presence of sedimentation</w:t>
      </w:r>
      <w:bookmarkEnd w:id="49"/>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50" w:name="_Toc493890754"/>
      <w:r w:rsidRPr="00CA6505">
        <w:lastRenderedPageBreak/>
        <w:t>Symmetry breaking in the models with peptides up to length 3, catalytic synthesis of amino acids, pair formation and Noyes – Whitney sedimentation</w:t>
      </w:r>
      <w:bookmarkEnd w:id="50"/>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30</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31</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9E61E8" w:rsidRPr="009E61E8">
        <w:rPr>
          <w:rFonts w:ascii="Times New Roman" w:hAnsi="Times New Roman" w:cs="Times New Roman"/>
          <w:sz w:val="20"/>
          <w:szCs w:val="20"/>
          <w:lang w:val="en-US"/>
        </w:rPr>
        <w:t>29</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w:t>
      </w:r>
      <w:proofErr w:type="gramStart"/>
      <w:r w:rsidR="00DE4EF4" w:rsidRPr="00CA6505">
        <w:rPr>
          <w:rFonts w:ascii="Times New Roman" w:eastAsiaTheme="minorEastAsia" w:hAnsi="Times New Roman" w:cs="Times New Roman"/>
          <w:sz w:val="20"/>
          <w:szCs w:val="20"/>
          <w:lang w:val="en-US"/>
        </w:rPr>
        <w:t>taken into account</w:t>
      </w:r>
      <w:proofErr w:type="gramEnd"/>
      <w:r w:rsidR="00DE4EF4" w:rsidRPr="00CA6505">
        <w:rPr>
          <w:rFonts w:ascii="Times New Roman" w:eastAsiaTheme="minorEastAsia" w:hAnsi="Times New Roman" w:cs="Times New Roman"/>
          <w:sz w:val="20"/>
          <w:szCs w:val="20"/>
          <w:lang w:val="en-US"/>
        </w:rPr>
        <w:t xml:space="preserve">,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w:t>
      </w:r>
      <w:proofErr w:type="gramStart"/>
      <w:r w:rsidR="007D47BD" w:rsidRPr="00CA6505">
        <w:rPr>
          <w:rFonts w:ascii="Times New Roman" w:eastAsiaTheme="minorEastAsia" w:hAnsi="Times New Roman" w:cs="Times New Roman"/>
          <w:sz w:val="20"/>
          <w:szCs w:val="20"/>
          <w:lang w:val="en-US"/>
        </w:rPr>
        <w:t>in order to</w:t>
      </w:r>
      <w:proofErr w:type="gramEnd"/>
      <w:r w:rsidR="007D47BD" w:rsidRPr="00CA6505">
        <w:rPr>
          <w:rFonts w:ascii="Times New Roman" w:eastAsiaTheme="minorEastAsia" w:hAnsi="Times New Roman" w:cs="Times New Roman"/>
          <w:sz w:val="20"/>
          <w:szCs w:val="20"/>
          <w:lang w:val="en-US"/>
        </w:rPr>
        <w:t xml:space="preserve">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is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attrition-enhanced deracemization (</w:t>
      </w:r>
      <w:r w:rsidR="00F37164" w:rsidRPr="000B6A67">
        <w:rPr>
          <w:rFonts w:ascii="Times New Roman" w:eastAsiaTheme="minorEastAsia" w:hAnsi="Times New Roman" w:cs="Times New Roman"/>
          <w:sz w:val="20"/>
          <w:szCs w:val="20"/>
          <w:highlight w:val="magenta"/>
          <w:lang w:val="en-US"/>
        </w:rPr>
        <w:t>Viedma ripening</w:t>
      </w:r>
      <w:r w:rsidR="000B6A67" w:rsidRPr="000B6A67">
        <w:rPr>
          <w:rFonts w:ascii="Times New Roman" w:eastAsiaTheme="minorEastAsia" w:hAnsi="Times New Roman" w:cs="Times New Roman"/>
          <w:sz w:val="20"/>
          <w:szCs w:val="20"/>
          <w:highlight w:val="magenta"/>
          <w:lang w:val="en-US"/>
        </w:rPr>
        <w:t>, REF</w:t>
      </w:r>
      <w:r w:rsidR="00F37164" w:rsidRPr="00F37164">
        <w:rPr>
          <w:rFonts w:ascii="Times New Roman" w:eastAsiaTheme="minorEastAsia" w:hAnsi="Times New Roman" w:cs="Times New Roman"/>
          <w:sz w:val="20"/>
          <w:szCs w:val="20"/>
          <w:lang w:val="en-US"/>
        </w:rPr>
        <w:t>)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1" w:name="_Toc493890755"/>
      <w:r w:rsidRPr="00CA6505">
        <w:t>Proposed Experiment</w:t>
      </w:r>
      <w:bookmarkEnd w:id="51"/>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9E61E8">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2" w:name="_Ref443674324"/>
      <w:bookmarkStart w:id="53"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9E61E8">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2"/>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3"/>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proofErr w:type="spellStart"/>
      <w:r w:rsidR="00B04452" w:rsidRPr="00E74FA3">
        <w:rPr>
          <w:rFonts w:ascii="Times New Roman" w:eastAsiaTheme="minorEastAsia" w:hAnsi="Times New Roman" w:cs="Times New Roman"/>
          <w:sz w:val="20"/>
          <w:szCs w:val="20"/>
          <w:lang w:val="en-US"/>
        </w:rPr>
        <w:t>Avetisov</w:t>
      </w:r>
      <w:proofErr w:type="spellEnd"/>
      <w:r w:rsidR="00B04452" w:rsidRPr="00E74FA3">
        <w:rPr>
          <w:rFonts w:ascii="Times New Roman" w:eastAsiaTheme="minorEastAsia" w:hAnsi="Times New Roman" w:cs="Times New Roman"/>
          <w:sz w:val="20"/>
          <w:szCs w:val="20"/>
          <w:lang w:val="en-US"/>
        </w:rPr>
        <w:t xml:space="preserve"> and </w:t>
      </w:r>
      <w:proofErr w:type="spellStart"/>
      <w:r w:rsidR="00B04452" w:rsidRPr="00E74FA3">
        <w:rPr>
          <w:rFonts w:ascii="Times New Roman" w:eastAsiaTheme="minorEastAsia" w:hAnsi="Times New Roman" w:cs="Times New Roman"/>
          <w:sz w:val="20"/>
          <w:szCs w:val="20"/>
          <w:lang w:val="en-US"/>
        </w:rPr>
        <w:t>Goldanskii</w:t>
      </w:r>
      <w:proofErr w:type="spellEnd"/>
      <w:r w:rsidR="00B04452" w:rsidRPr="00E74FA3">
        <w:rPr>
          <w:rFonts w:ascii="Times New Roman" w:eastAsiaTheme="minorEastAsia" w:hAnsi="Times New Roman" w:cs="Times New Roman"/>
          <w:sz w:val="20"/>
          <w:szCs w:val="20"/>
          <w:lang w:val="en-US"/>
        </w:rPr>
        <w:t xml:space="preserve">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t>
      </w:r>
      <w:proofErr w:type="gramStart"/>
      <w:r w:rsidRPr="00CA6505">
        <w:rPr>
          <w:rFonts w:ascii="Times New Roman" w:eastAsiaTheme="minorEastAsia" w:hAnsi="Times New Roman" w:cs="Times New Roman"/>
          <w:sz w:val="20"/>
          <w:szCs w:val="20"/>
          <w:lang w:val="en-US"/>
        </w:rPr>
        <w:t>whether or not</w:t>
      </w:r>
      <w:proofErr w:type="gramEnd"/>
      <w:r w:rsidRPr="00CA6505">
        <w:rPr>
          <w:rFonts w:ascii="Times New Roman" w:eastAsiaTheme="minorEastAsia" w:hAnsi="Times New Roman" w:cs="Times New Roman"/>
          <w:sz w:val="20"/>
          <w:szCs w:val="20"/>
          <w:lang w:val="en-US"/>
        </w:rPr>
        <w:t xml:space="preserve">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04620E"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04620E"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9E61E8">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lastRenderedPageBreak/>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4"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9E61E8">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4"/>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ing for “peptides”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9E61E8">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w:t>
      </w:r>
      <w:proofErr w:type="spellStart"/>
      <w:r w:rsidR="003C1F23" w:rsidRPr="00CA6505">
        <w:rPr>
          <w:rFonts w:ascii="Times New Roman" w:eastAsiaTheme="minorEastAsia" w:hAnsi="Times New Roman" w:cs="Times New Roman"/>
          <w:sz w:val="20"/>
          <w:szCs w:val="20"/>
          <w:lang w:val="en-US"/>
        </w:rPr>
        <w:t>hould</w:t>
      </w:r>
      <w:proofErr w:type="spellEnd"/>
      <w:r w:rsidR="003C1F23" w:rsidRPr="00CA6505">
        <w:rPr>
          <w:rFonts w:ascii="Times New Roman" w:eastAsiaTheme="minorEastAsia" w:hAnsi="Times New Roman" w:cs="Times New Roman"/>
          <w:sz w:val="20"/>
          <w:szCs w:val="20"/>
          <w:lang w:val="en-US"/>
        </w:rPr>
        <w:t xml:space="preserve">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w:t>
      </w:r>
      <w:proofErr w:type="gramStart"/>
      <w:r w:rsidR="00A64354" w:rsidRPr="00CA6505">
        <w:rPr>
          <w:rFonts w:ascii="Times New Roman" w:eastAsiaTheme="minorEastAsia" w:hAnsi="Times New Roman" w:cs="Times New Roman"/>
          <w:sz w:val="20"/>
          <w:szCs w:val="20"/>
          <w:lang w:val="en-US"/>
        </w:rPr>
        <w:t>are</w:t>
      </w:r>
      <w:proofErr w:type="gramEnd"/>
      <w:r w:rsidR="00A64354" w:rsidRPr="00CA6505">
        <w:rPr>
          <w:rFonts w:ascii="Times New Roman" w:eastAsiaTheme="minorEastAsia" w:hAnsi="Times New Roman" w:cs="Times New Roman"/>
          <w:sz w:val="20"/>
          <w:szCs w:val="20"/>
          <w:lang w:val="en-US"/>
        </w:rPr>
        <w:t xml:space="preserv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5" w:name="_Toc493890756"/>
      <w:r w:rsidRPr="00CA6505">
        <w:t>Conclusion</w:t>
      </w:r>
      <w:bookmarkEnd w:id="55"/>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w:t>
      </w:r>
      <w:r w:rsidRPr="00A54906">
        <w:rPr>
          <w:rFonts w:ascii="Times New Roman" w:hAnsi="Times New Roman" w:cs="Times New Roman"/>
          <w:sz w:val="20"/>
          <w:szCs w:val="20"/>
          <w:lang w:val="en-US"/>
        </w:rPr>
        <w:lastRenderedPageBreak/>
        <w:t xml:space="preserve">depolymerization, and sedimentation was considered. It was shown that such averaging results in weak effective enantioselectivity of 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Pr="00A54906" w:rsidRDefault="00D26443" w:rsidP="00D26443">
      <w:pPr>
        <w:jc w:val="both"/>
        <w:rPr>
          <w:rFonts w:ascii="Times New Roman" w:hAnsi="Times New Roman" w:cs="Times New Roman"/>
          <w:sz w:val="20"/>
          <w:szCs w:val="20"/>
          <w:lang w:val="en-US"/>
        </w:rPr>
      </w:pPr>
      <w:proofErr w:type="gramStart"/>
      <w:r w:rsidRPr="00A54906">
        <w:rPr>
          <w:rFonts w:ascii="Times New Roman" w:hAnsi="Times New Roman" w:cs="Times New Roman"/>
          <w:sz w:val="20"/>
          <w:szCs w:val="20"/>
          <w:lang w:val="en-US"/>
        </w:rPr>
        <w:t>A class</w:t>
      </w:r>
      <w:r w:rsidR="00F27B23">
        <w:rPr>
          <w:rFonts w:ascii="Times New Roman" w:hAnsi="Times New Roman" w:cs="Times New Roman"/>
          <w:sz w:val="20"/>
          <w:szCs w:val="20"/>
          <w:lang w:val="en-US"/>
        </w:rPr>
        <w:t>es</w:t>
      </w:r>
      <w:r w:rsidRPr="00A54906">
        <w:rPr>
          <w:rFonts w:ascii="Times New Roman" w:hAnsi="Times New Roman" w:cs="Times New Roman"/>
          <w:sz w:val="20"/>
          <w:szCs w:val="20"/>
          <w:lang w:val="en-US"/>
        </w:rPr>
        <w:t xml:space="preserve"> of models</w:t>
      </w:r>
      <w:proofErr w:type="gramEnd"/>
      <w:r w:rsidRPr="00A54906">
        <w:rPr>
          <w:rFonts w:ascii="Times New Roman" w:hAnsi="Times New Roman" w:cs="Times New Roman"/>
          <w:sz w:val="20"/>
          <w:szCs w:val="20"/>
          <w:lang w:val="en-US"/>
        </w:rPr>
        <w:t xml:space="preserve"> with formation of peptides up to length </w:t>
      </w:r>
      <w:r>
        <w:rPr>
          <w:rFonts w:ascii="Times New Roman" w:hAnsi="Times New Roman" w:cs="Times New Roman"/>
          <w:sz w:val="20"/>
          <w:szCs w:val="20"/>
          <w:lang w:val="en-US"/>
        </w:rPr>
        <w:t>five</w:t>
      </w:r>
      <w:r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Wolfram Mathematica program, which </w:t>
      </w:r>
      <w:proofErr w:type="gramStart"/>
      <w:r>
        <w:rPr>
          <w:rFonts w:ascii="Times New Roman" w:hAnsi="Times New Roman" w:cs="Times New Roman"/>
          <w:sz w:val="20"/>
          <w:szCs w:val="20"/>
          <w:lang w:val="en-US"/>
        </w:rPr>
        <w:t>is capable of solving</w:t>
      </w:r>
      <w:proofErr w:type="gramEnd"/>
      <w:r>
        <w:rPr>
          <w:rFonts w:ascii="Times New Roman" w:hAnsi="Times New Roman" w:cs="Times New Roman"/>
          <w:sz w:val="20"/>
          <w:szCs w:val="20"/>
          <w:lang w:val="en-US"/>
        </w:rPr>
        <w:t xml:space="preserve"> </w:t>
      </w:r>
      <w:r w:rsidR="0009117F">
        <w:rPr>
          <w:rFonts w:ascii="Times New Roman" w:hAnsi="Times New Roman" w:cs="Times New Roman"/>
          <w:sz w:val="20"/>
          <w:szCs w:val="20"/>
          <w:lang w:val="en-US"/>
        </w:rPr>
        <w:t xml:space="preserve">an </w:t>
      </w:r>
      <w:r>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It was shown that catalysts with length one and two work only with very limited number of possible insoluble pairs and therefore it was sho</w:t>
      </w:r>
      <w:proofErr w:type="spellStart"/>
      <w:r w:rsidRPr="00A54906">
        <w:rPr>
          <w:rFonts w:ascii="Times New Roman" w:hAnsi="Times New Roman" w:cs="Times New Roman"/>
          <w:sz w:val="20"/>
          <w:szCs w:val="20"/>
          <w:lang w:val="en-US"/>
        </w:rPr>
        <w:t>wn</w:t>
      </w:r>
      <w:proofErr w:type="spellEnd"/>
      <w:r w:rsidRPr="00A54906">
        <w:rPr>
          <w:rFonts w:ascii="Times New Roman" w:hAnsi="Times New Roman" w:cs="Times New Roman"/>
          <w:sz w:val="20"/>
          <w:szCs w:val="20"/>
          <w:lang w:val="en-US"/>
        </w:rPr>
        <w:t xml:space="preserve"> that the minimum interesting length of potential catalysts is three. </w:t>
      </w:r>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w:t>
      </w:r>
      <w:r w:rsidR="007F33FA">
        <w:rPr>
          <w:rFonts w:ascii="Times New Roman" w:hAnsi="Times New Roman" w:cs="Times New Roman"/>
          <w:sz w:val="20"/>
          <w:szCs w:val="20"/>
          <w:lang w:val="en-US"/>
        </w:rPr>
        <w:t xml:space="preserve"> an</w:t>
      </w:r>
      <w:r>
        <w:rPr>
          <w:rFonts w:ascii="Times New Roman" w:hAnsi="Times New Roman" w:cs="Times New Roman"/>
          <w:sz w:val="20"/>
          <w:szCs w:val="20"/>
          <w:lang w:val="en-US"/>
        </w:rPr>
        <w:t xml:space="preserve"> increase in peptide length from two to three in models based on activation, polymerization, epimerization depolymerization cycle results in </w:t>
      </w:r>
      <w:r w:rsidR="007F33FA">
        <w:rPr>
          <w:rFonts w:ascii="Times New Roman" w:hAnsi="Times New Roman" w:cs="Times New Roman"/>
          <w:sz w:val="20"/>
          <w:szCs w:val="20"/>
          <w:lang w:val="en-US"/>
        </w:rPr>
        <w:t xml:space="preserve">a </w:t>
      </w:r>
      <w:r>
        <w:rPr>
          <w:rFonts w:ascii="Times New Roman" w:hAnsi="Times New Roman" w:cs="Times New Roman"/>
          <w:sz w:val="20"/>
          <w:szCs w:val="20"/>
          <w:lang w:val="en-US"/>
        </w:rPr>
        <w:t>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6" w:name="_Toc493890757"/>
      <w:r w:rsidRPr="00CA6505">
        <w:t>References</w:t>
      </w:r>
      <w:bookmarkEnd w:id="56"/>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Avetisov</w:t>
      </w:r>
      <w:proofErr w:type="spellEnd"/>
      <w:r w:rsidRPr="00FC1813">
        <w:rPr>
          <w:rFonts w:ascii="Times New Roman" w:hAnsi="Times New Roman" w:cs="Times New Roman"/>
          <w:sz w:val="20"/>
          <w:szCs w:val="20"/>
          <w:lang w:val="en-US"/>
        </w:rPr>
        <w:t xml:space="preserve"> VA, </w:t>
      </w:r>
      <w:proofErr w:type="spellStart"/>
      <w:r w:rsidRPr="00FC1813">
        <w:rPr>
          <w:rFonts w:ascii="Times New Roman" w:hAnsi="Times New Roman" w:cs="Times New Roman"/>
          <w:sz w:val="20"/>
          <w:szCs w:val="20"/>
          <w:lang w:val="en-US"/>
        </w:rPr>
        <w:t>Goldanskii</w:t>
      </w:r>
      <w:proofErr w:type="spellEnd"/>
      <w:r w:rsidRPr="00FC1813">
        <w:rPr>
          <w:rFonts w:ascii="Times New Roman" w:hAnsi="Times New Roman" w:cs="Times New Roman"/>
          <w:sz w:val="20"/>
          <w:szCs w:val="20"/>
          <w:lang w:val="en-US"/>
        </w:rPr>
        <w:t xml:space="preserve">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Axel Brandenburg, Harry J.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Kirsi</w:t>
      </w:r>
      <w:proofErr w:type="spellEnd"/>
      <w:r w:rsidRPr="00FC1813">
        <w:rPr>
          <w:rFonts w:ascii="Times New Roman" w:hAnsi="Times New Roman" w:cs="Times New Roman"/>
          <w:sz w:val="20"/>
          <w:szCs w:val="20"/>
          <w:lang w:val="en-US"/>
        </w:rPr>
        <w:t xml:space="preserve"> M.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Peter V. </w:t>
      </w:r>
      <w:proofErr w:type="spellStart"/>
      <w:r w:rsidRPr="00FC1813">
        <w:rPr>
          <w:rFonts w:ascii="Times New Roman" w:hAnsi="Times New Roman" w:cs="Times New Roman"/>
          <w:sz w:val="20"/>
          <w:szCs w:val="20"/>
          <w:lang w:val="en-US"/>
        </w:rPr>
        <w:t>Coveney</w:t>
      </w:r>
      <w:proofErr w:type="spellEnd"/>
      <w:r w:rsidRPr="00FC1813">
        <w:rPr>
          <w:rFonts w:ascii="Times New Roman" w:hAnsi="Times New Roman" w:cs="Times New Roman"/>
          <w:sz w:val="20"/>
          <w:szCs w:val="20"/>
          <w:lang w:val="en-US"/>
        </w:rPr>
        <w:t xml:space="preserve">, Jacob B. </w:t>
      </w:r>
      <w:proofErr w:type="spellStart"/>
      <w:r w:rsidRPr="00FC1813">
        <w:rPr>
          <w:rFonts w:ascii="Times New Roman" w:hAnsi="Times New Roman" w:cs="Times New Roman"/>
          <w:sz w:val="20"/>
          <w:szCs w:val="20"/>
          <w:lang w:val="en-US"/>
        </w:rPr>
        <w:t>Swadling</w:t>
      </w:r>
      <w:proofErr w:type="spellEnd"/>
      <w:r w:rsidRPr="00FC1813">
        <w:rPr>
          <w:rFonts w:ascii="Times New Roman" w:hAnsi="Times New Roman" w:cs="Times New Roman"/>
          <w:sz w:val="20"/>
          <w:szCs w:val="20"/>
          <w:lang w:val="en-US"/>
        </w:rPr>
        <w:t>,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Dokoumetzidis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Macheras</w:t>
      </w:r>
      <w:proofErr w:type="spellEnd"/>
      <w:r w:rsidRPr="00FC1813">
        <w:rPr>
          <w:rFonts w:ascii="Times New Roman" w:hAnsi="Times New Roman" w:cs="Times New Roman"/>
          <w:sz w:val="20"/>
          <w:szCs w:val="20"/>
          <w:lang w:val="en-US"/>
        </w:rPr>
        <w:t xml:space="preserve"> P (2006) A century of dissolution research: From Noyes and Whitney to the Biopharmaceutics Classification System. </w:t>
      </w:r>
      <w:proofErr w:type="spellStart"/>
      <w:r w:rsidRPr="00FC1813">
        <w:rPr>
          <w:rFonts w:ascii="Times New Roman" w:hAnsi="Times New Roman" w:cs="Times New Roman"/>
          <w:sz w:val="20"/>
          <w:szCs w:val="20"/>
          <w:lang w:val="en-US"/>
        </w:rPr>
        <w:t>Int</w:t>
      </w:r>
      <w:proofErr w:type="spellEnd"/>
      <w:r w:rsidRPr="00FC1813">
        <w:rPr>
          <w:rFonts w:ascii="Times New Roman" w:hAnsi="Times New Roman" w:cs="Times New Roman"/>
          <w:sz w:val="20"/>
          <w:szCs w:val="20"/>
          <w:lang w:val="en-US"/>
        </w:rPr>
        <w:t xml:space="preserve">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Frank FC (1953) On spontaneous asymmetric synthesis. </w:t>
      </w:r>
      <w:proofErr w:type="spellStart"/>
      <w:r w:rsidRPr="00FC1813">
        <w:rPr>
          <w:rFonts w:ascii="Times New Roman" w:hAnsi="Times New Roman" w:cs="Times New Roman"/>
          <w:sz w:val="20"/>
          <w:szCs w:val="20"/>
          <w:lang w:val="en-US"/>
        </w:rPr>
        <w:t>Biochim</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Biophys</w:t>
      </w:r>
      <w:proofErr w:type="spellEnd"/>
      <w:r w:rsidRPr="00FC1813">
        <w:rPr>
          <w:rFonts w:ascii="Times New Roman" w:hAnsi="Times New Roman" w:cs="Times New Roman"/>
          <w:sz w:val="20"/>
          <w:szCs w:val="20"/>
          <w:lang w:val="en-US"/>
        </w:rPr>
        <w:t xml:space="preserve"> Acta 11: 459–463</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Yoshito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Fujima</w:t>
      </w:r>
      <w:proofErr w:type="spellEnd"/>
      <w:r w:rsidRPr="00FC1813">
        <w:rPr>
          <w:rFonts w:ascii="Times New Roman" w:hAnsi="Times New Roman" w:cs="Times New Roman"/>
          <w:sz w:val="20"/>
          <w:szCs w:val="20"/>
          <w:lang w:val="en-US"/>
        </w:rPr>
        <w:t xml:space="preserve">, Masaya </w:t>
      </w:r>
      <w:proofErr w:type="spellStart"/>
      <w:r w:rsidRPr="00FC1813">
        <w:rPr>
          <w:rFonts w:ascii="Times New Roman" w:hAnsi="Times New Roman" w:cs="Times New Roman"/>
          <w:sz w:val="20"/>
          <w:szCs w:val="20"/>
          <w:lang w:val="en-US"/>
        </w:rPr>
        <w:t>Ikunaka</w:t>
      </w:r>
      <w:proofErr w:type="spellEnd"/>
      <w:r w:rsidRPr="00FC1813">
        <w:rPr>
          <w:rFonts w:ascii="Times New Roman" w:hAnsi="Times New Roman" w:cs="Times New Roman"/>
          <w:sz w:val="20"/>
          <w:szCs w:val="20"/>
          <w:lang w:val="en-US"/>
        </w:rPr>
        <w:t>,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lastRenderedPageBreak/>
        <w:t xml:space="preserve">GNU </w:t>
      </w:r>
      <w:proofErr w:type="gramStart"/>
      <w:r w:rsidRPr="00FC1813">
        <w:rPr>
          <w:rFonts w:ascii="Times New Roman" w:hAnsi="Times New Roman" w:cs="Times New Roman"/>
          <w:sz w:val="20"/>
          <w:szCs w:val="20"/>
          <w:lang w:val="en-US"/>
        </w:rPr>
        <w:t>General Public</w:t>
      </w:r>
      <w:proofErr w:type="gramEnd"/>
      <w:r w:rsidRPr="00FC1813">
        <w:rPr>
          <w:rFonts w:ascii="Times New Roman" w:hAnsi="Times New Roman" w:cs="Times New Roman"/>
          <w:sz w:val="20"/>
          <w:szCs w:val="20"/>
          <w:lang w:val="en-US"/>
        </w:rPr>
        <w:t xml:space="preserve">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Hein JE, Huynh Cao B, Viedma C, Kellogg RM, Blackmond DG (2012) Pasteur’s Tweezers Revisited: On the Mechanism of Attrition-Enhanced Deracemization and Resolution of Chiral Conglomerate Solids. J Am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w:t>
      </w:r>
      <w:proofErr w:type="spellStart"/>
      <w:proofErr w:type="gram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134</w:t>
      </w:r>
      <w:proofErr w:type="gramEnd"/>
      <w:r w:rsidRPr="00FC1813">
        <w:rPr>
          <w:rFonts w:ascii="Times New Roman" w:hAnsi="Times New Roman" w:cs="Times New Roman"/>
          <w:sz w:val="20"/>
          <w:szCs w:val="20"/>
          <w:lang w:val="en-US"/>
        </w:rPr>
        <w:t xml:space="preserve"> (30): 12629-12636.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Iyer</w:t>
      </w:r>
      <w:proofErr w:type="spellEnd"/>
      <w:r w:rsidRPr="00FC1813">
        <w:rPr>
          <w:rFonts w:ascii="Times New Roman" w:hAnsi="Times New Roman" w:cs="Times New Roman"/>
          <w:sz w:val="20"/>
          <w:szCs w:val="20"/>
          <w:lang w:val="en-US"/>
        </w:rPr>
        <w:t xml:space="preserve"> MS, </w:t>
      </w:r>
      <w:proofErr w:type="spellStart"/>
      <w:r w:rsidRPr="00FC1813">
        <w:rPr>
          <w:rFonts w:ascii="Times New Roman" w:hAnsi="Times New Roman" w:cs="Times New Roman"/>
          <w:sz w:val="20"/>
          <w:szCs w:val="20"/>
          <w:lang w:val="en-US"/>
        </w:rPr>
        <w:t>Gigstad</w:t>
      </w:r>
      <w:proofErr w:type="spellEnd"/>
      <w:r w:rsidRPr="00FC1813">
        <w:rPr>
          <w:rFonts w:ascii="Times New Roman" w:hAnsi="Times New Roman" w:cs="Times New Roman"/>
          <w:sz w:val="20"/>
          <w:szCs w:val="20"/>
          <w:lang w:val="en-US"/>
        </w:rPr>
        <w:t xml:space="preserve"> KM, </w:t>
      </w:r>
      <w:proofErr w:type="spellStart"/>
      <w:r w:rsidRPr="00FC1813">
        <w:rPr>
          <w:rFonts w:ascii="Times New Roman" w:hAnsi="Times New Roman" w:cs="Times New Roman"/>
          <w:sz w:val="20"/>
          <w:szCs w:val="20"/>
          <w:lang w:val="en-US"/>
        </w:rPr>
        <w:t>Namdev</w:t>
      </w:r>
      <w:proofErr w:type="spellEnd"/>
      <w:r w:rsidRPr="00FC1813">
        <w:rPr>
          <w:rFonts w:ascii="Times New Roman" w:hAnsi="Times New Roman" w:cs="Times New Roman"/>
          <w:sz w:val="20"/>
          <w:szCs w:val="20"/>
          <w:lang w:val="en-US"/>
        </w:rPr>
        <w:t xml:space="preserve">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Konstantinov KK, Konstantinova AF Konstantinova (2014), Influence of crystallization on formation of biomolecular homochirality on Earth. Acta </w:t>
      </w:r>
      <w:proofErr w:type="spellStart"/>
      <w:r w:rsidRPr="00FC1813">
        <w:rPr>
          <w:rFonts w:ascii="Times New Roman" w:hAnsi="Times New Roman" w:cs="Times New Roman"/>
          <w:sz w:val="20"/>
          <w:szCs w:val="20"/>
          <w:lang w:val="en-US"/>
        </w:rPr>
        <w:t>Cryst</w:t>
      </w:r>
      <w:proofErr w:type="spellEnd"/>
      <w:r w:rsidRPr="00FC1813">
        <w:rPr>
          <w:rFonts w:ascii="Times New Roman" w:hAnsi="Times New Roman" w:cs="Times New Roman"/>
          <w:sz w:val="20"/>
          <w:szCs w:val="20"/>
          <w:lang w:val="en-US"/>
        </w:rPr>
        <w:t xml:space="preserve"> 70: 1656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Letokhov</w:t>
      </w:r>
      <w:proofErr w:type="spellEnd"/>
      <w:r w:rsidRPr="00FC1813">
        <w:rPr>
          <w:rFonts w:ascii="Times New Roman" w:hAnsi="Times New Roman" w:cs="Times New Roman"/>
          <w:sz w:val="20"/>
          <w:szCs w:val="20"/>
          <w:lang w:val="en-US"/>
        </w:rPr>
        <w:t>,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van der </w:t>
      </w:r>
      <w:proofErr w:type="spellStart"/>
      <w:r w:rsidRPr="00FC1813">
        <w:rPr>
          <w:rFonts w:ascii="Times New Roman" w:hAnsi="Times New Roman" w:cs="Times New Roman"/>
          <w:sz w:val="20"/>
          <w:szCs w:val="20"/>
          <w:lang w:val="en-US"/>
        </w:rPr>
        <w:t>Asdonk</w:t>
      </w:r>
      <w:proofErr w:type="spellEnd"/>
      <w:r w:rsidRPr="00FC1813">
        <w:rPr>
          <w:rFonts w:ascii="Times New Roman" w:hAnsi="Times New Roman" w:cs="Times New Roman"/>
          <w:sz w:val="20"/>
          <w:szCs w:val="20"/>
          <w:lang w:val="en-US"/>
        </w:rPr>
        <w:t xml:space="preserve"> P, Bode AAC,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Kellogg RM, </w:t>
      </w:r>
      <w:proofErr w:type="spellStart"/>
      <w:r w:rsidRPr="00FC1813">
        <w:rPr>
          <w:rFonts w:ascii="Times New Roman" w:hAnsi="Times New Roman" w:cs="Times New Roman"/>
          <w:sz w:val="20"/>
          <w:szCs w:val="20"/>
          <w:lang w:val="en-US"/>
        </w:rPr>
        <w:t>Deroover</w:t>
      </w:r>
      <w:proofErr w:type="spellEnd"/>
      <w:r w:rsidRPr="00FC1813">
        <w:rPr>
          <w:rFonts w:ascii="Times New Roman" w:hAnsi="Times New Roman" w:cs="Times New Roman"/>
          <w:sz w:val="20"/>
          <w:szCs w:val="20"/>
          <w:lang w:val="en-US"/>
        </w:rPr>
        <w:t xml:space="preserve"> G (2010) Scaling Up Attrition-Enhanced Deracemization by Use of an Industrial Bead Mill in a Route to </w:t>
      </w:r>
      <w:proofErr w:type="spellStart"/>
      <w:r w:rsidRPr="00FC1813">
        <w:rPr>
          <w:rFonts w:ascii="Times New Roman" w:hAnsi="Times New Roman" w:cs="Times New Roman"/>
          <w:sz w:val="20"/>
          <w:szCs w:val="20"/>
          <w:lang w:val="en-US"/>
        </w:rPr>
        <w:t>Clopidogrel</w:t>
      </w:r>
      <w:proofErr w:type="spellEnd"/>
      <w:r w:rsidRPr="00FC1813">
        <w:rPr>
          <w:rFonts w:ascii="Times New Roman" w:hAnsi="Times New Roman" w:cs="Times New Roman"/>
          <w:sz w:val="20"/>
          <w:szCs w:val="20"/>
          <w:lang w:val="en-US"/>
        </w:rPr>
        <w:t xml:space="preserve"> (Plavix). </w:t>
      </w:r>
      <w:proofErr w:type="spellStart"/>
      <w:r w:rsidRPr="00FC1813">
        <w:rPr>
          <w:rFonts w:ascii="Times New Roman" w:hAnsi="Times New Roman" w:cs="Times New Roman"/>
          <w:sz w:val="20"/>
          <w:szCs w:val="20"/>
          <w:lang w:val="fr-CA"/>
        </w:rPr>
        <w:t>Org</w:t>
      </w:r>
      <w:proofErr w:type="spellEnd"/>
      <w:r w:rsidRPr="00FC1813">
        <w:rPr>
          <w:rFonts w:ascii="Times New Roman" w:hAnsi="Times New Roman" w:cs="Times New Roman"/>
          <w:sz w:val="20"/>
          <w:szCs w:val="20"/>
          <w:lang w:val="fr-CA"/>
        </w:rPr>
        <w:t xml:space="preserve"> Proc </w:t>
      </w:r>
      <w:proofErr w:type="spellStart"/>
      <w:r w:rsidRPr="00FC1813">
        <w:rPr>
          <w:rFonts w:ascii="Times New Roman" w:hAnsi="Times New Roman" w:cs="Times New Roman"/>
          <w:sz w:val="20"/>
          <w:szCs w:val="20"/>
          <w:lang w:val="fr-CA"/>
        </w:rPr>
        <w:t>Res</w:t>
      </w:r>
      <w:proofErr w:type="spellEnd"/>
      <w:r w:rsidRPr="00FC1813">
        <w:rPr>
          <w:rFonts w:ascii="Times New Roman" w:hAnsi="Times New Roman" w:cs="Times New Roman"/>
          <w:sz w:val="20"/>
          <w:szCs w:val="20"/>
          <w:lang w:val="fr-CA"/>
        </w:rPr>
        <w:t xml:space="preserve">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 xml:space="preserve">Plasson R (2003) Dissertation. </w:t>
      </w:r>
      <w:proofErr w:type="spellStart"/>
      <w:r w:rsidRPr="00FC1813">
        <w:rPr>
          <w:rFonts w:ascii="Times New Roman" w:hAnsi="Times New Roman" w:cs="Times New Roman"/>
          <w:sz w:val="20"/>
          <w:szCs w:val="20"/>
          <w:lang w:val="fr-CA"/>
        </w:rPr>
        <w:t>Universite</w:t>
      </w:r>
      <w:proofErr w:type="spellEnd"/>
      <w:r w:rsidRPr="00FC1813">
        <w:rPr>
          <w:rFonts w:ascii="Times New Roman" w:hAnsi="Times New Roman" w:cs="Times New Roman"/>
          <w:sz w:val="20"/>
          <w:szCs w:val="20"/>
          <w:lang w:val="fr-CA"/>
        </w:rPr>
        <w:t>´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Kondepudi</w:t>
      </w:r>
      <w:proofErr w:type="spellEnd"/>
      <w:r w:rsidRPr="00FC1813">
        <w:rPr>
          <w:rFonts w:ascii="Times New Roman" w:hAnsi="Times New Roman" w:cs="Times New Roman"/>
          <w:sz w:val="20"/>
          <w:szCs w:val="20"/>
          <w:lang w:val="en-US"/>
        </w:rPr>
        <w:t xml:space="preserve"> DK,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Asakura</w:t>
      </w:r>
      <w:proofErr w:type="spellEnd"/>
      <w:r w:rsidRPr="00FC1813">
        <w:rPr>
          <w:rFonts w:ascii="Times New Roman" w:hAnsi="Times New Roman" w:cs="Times New Roman"/>
          <w:sz w:val="20"/>
          <w:szCs w:val="20"/>
          <w:lang w:val="en-US"/>
        </w:rPr>
        <w:t xml:space="preserve"> K (2007) Emergence of Homochirality in Far-From-Equilibrium Systems: Mechanisms and Role in Prebiotic Chemistry. Wiley </w:t>
      </w:r>
      <w:proofErr w:type="spellStart"/>
      <w:r w:rsidRPr="00FC1813">
        <w:rPr>
          <w:rFonts w:ascii="Times New Roman" w:hAnsi="Times New Roman" w:cs="Times New Roman"/>
          <w:sz w:val="20"/>
          <w:szCs w:val="20"/>
          <w:lang w:val="en-US"/>
        </w:rPr>
        <w:t>InterScience</w:t>
      </w:r>
      <w:proofErr w:type="spellEnd"/>
      <w:r w:rsidRPr="00FC1813">
        <w:rPr>
          <w:rFonts w:ascii="Times New Roman" w:hAnsi="Times New Roman" w:cs="Times New Roman"/>
          <w:sz w:val="20"/>
          <w:szCs w:val="20"/>
          <w:lang w:val="en-US"/>
        </w:rPr>
        <w:t>,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Rein, D. W.: 1974, Some Remarks on Parity Violating Effects of Intramolecular Interactions, J. Mol. </w:t>
      </w:r>
      <w:proofErr w:type="spellStart"/>
      <w:r w:rsidRPr="00FC1813">
        <w:rPr>
          <w:rFonts w:ascii="Times New Roman" w:hAnsi="Times New Roman" w:cs="Times New Roman"/>
          <w:sz w:val="20"/>
          <w:szCs w:val="20"/>
          <w:lang w:val="en-US"/>
        </w:rPr>
        <w:t>Evol</w:t>
      </w:r>
      <w:proofErr w:type="spellEnd"/>
      <w:r w:rsidRPr="00FC1813">
        <w:rPr>
          <w:rFonts w:ascii="Times New Roman" w:hAnsi="Times New Roman" w:cs="Times New Roman"/>
          <w:sz w:val="20"/>
          <w:szCs w:val="20"/>
          <w:lang w:val="en-US"/>
        </w:rPr>
        <w:t>. 4, 15.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Ribó</w:t>
      </w:r>
      <w:proofErr w:type="spellEnd"/>
      <w:r w:rsidRPr="00FC1813">
        <w:rPr>
          <w:rFonts w:ascii="Times New Roman" w:hAnsi="Times New Roman" w:cs="Times New Roman"/>
          <w:sz w:val="20"/>
          <w:szCs w:val="20"/>
          <w:lang w:val="en-US"/>
        </w:rPr>
        <w:t xml:space="preserve"> JM, </w:t>
      </w:r>
      <w:proofErr w:type="spellStart"/>
      <w:r w:rsidRPr="00FC1813">
        <w:rPr>
          <w:rFonts w:ascii="Times New Roman" w:hAnsi="Times New Roman" w:cs="Times New Roman"/>
          <w:sz w:val="20"/>
          <w:szCs w:val="20"/>
          <w:lang w:val="en-US"/>
        </w:rPr>
        <w:t>Crusats</w:t>
      </w:r>
      <w:proofErr w:type="spellEnd"/>
      <w:r w:rsidRPr="00FC1813">
        <w:rPr>
          <w:rFonts w:ascii="Times New Roman" w:hAnsi="Times New Roman" w:cs="Times New Roman"/>
          <w:sz w:val="20"/>
          <w:szCs w:val="20"/>
          <w:lang w:val="en-US"/>
        </w:rPr>
        <w:t xml:space="preserve"> J, El-</w:t>
      </w:r>
      <w:proofErr w:type="spellStart"/>
      <w:r w:rsidRPr="00FC1813">
        <w:rPr>
          <w:rFonts w:ascii="Times New Roman" w:hAnsi="Times New Roman" w:cs="Times New Roman"/>
          <w:sz w:val="20"/>
          <w:szCs w:val="20"/>
          <w:lang w:val="en-US"/>
        </w:rPr>
        <w:t>Hachemi</w:t>
      </w:r>
      <w:proofErr w:type="spellEnd"/>
      <w:r w:rsidRPr="00FC1813">
        <w:rPr>
          <w:rFonts w:ascii="Times New Roman" w:hAnsi="Times New Roman" w:cs="Times New Roman"/>
          <w:sz w:val="20"/>
          <w:szCs w:val="20"/>
          <w:lang w:val="en-US"/>
        </w:rPr>
        <w:t xml:space="preserve"> Z, </w:t>
      </w:r>
      <w:proofErr w:type="spellStart"/>
      <w:r w:rsidRPr="00FC1813">
        <w:rPr>
          <w:rFonts w:ascii="Times New Roman" w:hAnsi="Times New Roman" w:cs="Times New Roman"/>
          <w:sz w:val="20"/>
          <w:szCs w:val="20"/>
          <w:lang w:val="en-US"/>
        </w:rPr>
        <w:t>Moyano</w:t>
      </w:r>
      <w:proofErr w:type="spellEnd"/>
      <w:r w:rsidRPr="00FC1813">
        <w:rPr>
          <w:rFonts w:ascii="Times New Roman" w:hAnsi="Times New Roman" w:cs="Times New Roman"/>
          <w:sz w:val="20"/>
          <w:szCs w:val="20"/>
          <w:lang w:val="en-US"/>
        </w:rPr>
        <w:t xml:space="preserve">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Saint-Martin B, </w:t>
      </w:r>
      <w:proofErr w:type="spellStart"/>
      <w:r w:rsidRPr="00FC1813">
        <w:rPr>
          <w:rFonts w:ascii="Times New Roman" w:hAnsi="Times New Roman" w:cs="Times New Roman"/>
          <w:sz w:val="20"/>
          <w:szCs w:val="20"/>
          <w:lang w:val="en-US"/>
        </w:rPr>
        <w:t>Julg</w:t>
      </w:r>
      <w:proofErr w:type="spellEnd"/>
      <w:r w:rsidRPr="00FC1813">
        <w:rPr>
          <w:rFonts w:ascii="Times New Roman" w:hAnsi="Times New Roman" w:cs="Times New Roman"/>
          <w:sz w:val="20"/>
          <w:szCs w:val="20"/>
          <w:lang w:val="en-US"/>
        </w:rPr>
        <w:t xml:space="preserve">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Yukio Saito, Hiroyuki </w:t>
      </w:r>
      <w:proofErr w:type="spellStart"/>
      <w:r w:rsidRPr="00FC1813">
        <w:rPr>
          <w:rFonts w:ascii="Times New Roman" w:hAnsi="Times New Roman" w:cs="Times New Roman"/>
          <w:sz w:val="20"/>
          <w:szCs w:val="20"/>
          <w:lang w:val="en-US"/>
        </w:rPr>
        <w:t>Hyuga</w:t>
      </w:r>
      <w:proofErr w:type="spellEnd"/>
      <w:r w:rsidRPr="00FC1813">
        <w:rPr>
          <w:rFonts w:ascii="Times New Roman" w:hAnsi="Times New Roman" w:cs="Times New Roman"/>
          <w:sz w:val="20"/>
          <w:szCs w:val="20"/>
          <w:lang w:val="en-US"/>
        </w:rPr>
        <w:t xml:space="preserve">, Complete Homochirality Induced by Nonlinear Autocatalysis and Recycling, Phys </w:t>
      </w:r>
      <w:proofErr w:type="spell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Jap 2004, </w:t>
      </w:r>
      <w:proofErr w:type="spellStart"/>
      <w:r w:rsidRPr="00FC1813">
        <w:rPr>
          <w:rFonts w:ascii="Times New Roman" w:hAnsi="Times New Roman" w:cs="Times New Roman"/>
          <w:sz w:val="20"/>
          <w:szCs w:val="20"/>
          <w:lang w:val="en-US"/>
        </w:rPr>
        <w:t>vol</w:t>
      </w:r>
      <w:proofErr w:type="spellEnd"/>
      <w:r w:rsidRPr="00FC1813">
        <w:rPr>
          <w:rFonts w:ascii="Times New Roman" w:hAnsi="Times New Roman" w:cs="Times New Roman"/>
          <w:sz w:val="20"/>
          <w:szCs w:val="20"/>
          <w:lang w:val="en-US"/>
        </w:rPr>
        <w:t xml:space="preserve"> 73, no 1, pp 33-35.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Sczepanski</w:t>
      </w:r>
      <w:proofErr w:type="spellEnd"/>
      <w:r w:rsidRPr="00FC1813">
        <w:rPr>
          <w:rFonts w:ascii="Times New Roman" w:hAnsi="Times New Roman" w:cs="Times New Roman"/>
          <w:sz w:val="20"/>
          <w:szCs w:val="20"/>
          <w:lang w:val="en-US"/>
        </w:rPr>
        <w:t xml:space="preserve">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Leeman M, </w:t>
      </w:r>
      <w:proofErr w:type="spellStart"/>
      <w:r w:rsidRPr="00FC1813">
        <w:rPr>
          <w:rFonts w:ascii="Times New Roman" w:hAnsi="Times New Roman" w:cs="Times New Roman"/>
          <w:sz w:val="20"/>
          <w:szCs w:val="20"/>
          <w:lang w:val="en-US"/>
        </w:rPr>
        <w:t>Gelens</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Isabelle </w:t>
      </w:r>
      <w:proofErr w:type="spellStart"/>
      <w:r w:rsidRPr="00FC1813">
        <w:rPr>
          <w:rFonts w:ascii="Times New Roman" w:hAnsi="Times New Roman" w:cs="Times New Roman"/>
          <w:sz w:val="20"/>
          <w:szCs w:val="20"/>
          <w:lang w:val="en-US"/>
        </w:rPr>
        <w:t>Weissbuch</w:t>
      </w:r>
      <w:proofErr w:type="spellEnd"/>
      <w:r w:rsidRPr="00FC1813">
        <w:rPr>
          <w:rFonts w:ascii="Times New Roman" w:hAnsi="Times New Roman" w:cs="Times New Roman"/>
          <w:sz w:val="20"/>
          <w:szCs w:val="20"/>
          <w:lang w:val="en-US"/>
        </w:rPr>
        <w:t xml:space="preserve">, Leslie </w:t>
      </w:r>
      <w:proofErr w:type="spellStart"/>
      <w:r w:rsidRPr="00FC1813">
        <w:rPr>
          <w:rFonts w:ascii="Times New Roman" w:hAnsi="Times New Roman" w:cs="Times New Roman"/>
          <w:sz w:val="20"/>
          <w:szCs w:val="20"/>
          <w:lang w:val="en-US"/>
        </w:rPr>
        <w:t>Leiserowitz</w:t>
      </w:r>
      <w:proofErr w:type="spellEnd"/>
      <w:r w:rsidRPr="00FC1813">
        <w:rPr>
          <w:rFonts w:ascii="Times New Roman" w:hAnsi="Times New Roman" w:cs="Times New Roman"/>
          <w:sz w:val="20"/>
          <w:szCs w:val="20"/>
          <w:lang w:val="en-US"/>
        </w:rPr>
        <w:t xml:space="preserve">, Meir </w:t>
      </w:r>
      <w:proofErr w:type="spellStart"/>
      <w:r w:rsidRPr="00FC1813">
        <w:rPr>
          <w:rFonts w:ascii="Times New Roman" w:hAnsi="Times New Roman" w:cs="Times New Roman"/>
          <w:sz w:val="20"/>
          <w:szCs w:val="20"/>
          <w:lang w:val="en-US"/>
        </w:rPr>
        <w:t>Lahav</w:t>
      </w:r>
      <w:proofErr w:type="spellEnd"/>
      <w:r w:rsidRPr="00FC1813">
        <w:rPr>
          <w:rFonts w:ascii="Times New Roman" w:hAnsi="Times New Roman" w:cs="Times New Roman"/>
          <w:sz w:val="20"/>
          <w:szCs w:val="20"/>
          <w:lang w:val="en-US"/>
        </w:rPr>
        <w:t xml:space="preserve">, Stochastic "Mirror Symmetry Breaking" via Self-Assembly, Reactivity and Amplification of Chirality: Relevance to Abiotic Conditions Top </w:t>
      </w:r>
      <w:proofErr w:type="spellStart"/>
      <w:r w:rsidRPr="00FC1813">
        <w:rPr>
          <w:rFonts w:ascii="Times New Roman" w:hAnsi="Times New Roman" w:cs="Times New Roman"/>
          <w:sz w:val="20"/>
          <w:szCs w:val="20"/>
          <w:lang w:val="en-US"/>
        </w:rPr>
        <w:t>Curr</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7" w:name="_Toc493890758"/>
      <w:r w:rsidRPr="00E455B4">
        <w:lastRenderedPageBreak/>
        <w:t>Supplementary Materials</w:t>
      </w:r>
      <w:bookmarkEnd w:id="57"/>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8" w:name="_Toc493890759"/>
      <w:r w:rsidRPr="00E455B4">
        <w:t>Source code</w:t>
      </w:r>
      <w:bookmarkEnd w:id="58"/>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096DEB">
        <w:rPr>
          <w:rFonts w:ascii="Times New Roman" w:hAnsi="Times New Roman" w:cs="Times New Roman"/>
          <w:sz w:val="20"/>
          <w:szCs w:val="20"/>
          <w:lang w:val="en-US"/>
        </w:rPr>
        <w:t>rates</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38654E">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38654E">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9" w:name="_Toc493890760"/>
      <w:r w:rsidRPr="007D1CBF">
        <w:t>Main results of the article</w:t>
      </w:r>
      <w:bookmarkEnd w:id="59"/>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04620E"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proofErr w:type="spellStart"/>
      <w:r w:rsidRPr="00AD460A">
        <w:rPr>
          <w:rFonts w:ascii="Times New Roman" w:hAnsi="Times New Roman" w:cs="Times New Roman"/>
          <w:b/>
          <w:sz w:val="20"/>
          <w:szCs w:val="20"/>
          <w:lang w:val="en-US"/>
        </w:rPr>
        <w:t>PathList</w:t>
      </w:r>
      <w:proofErr w:type="spellEnd"/>
      <w:r>
        <w:rPr>
          <w:rFonts w:ascii="Times New Roman" w:hAnsi="Times New Roman" w:cs="Times New Roman"/>
          <w:sz w:val="20"/>
          <w:szCs w:val="20"/>
          <w:lang w:val="en-US"/>
        </w:rPr>
        <w:t xml:space="preserve"> must be set to point to the correct location of the data (described below) and then parameter </w:t>
      </w:r>
      <w:proofErr w:type="spellStart"/>
      <w:r w:rsidRPr="00AD460A">
        <w:rPr>
          <w:rFonts w:ascii="Times New Roman" w:hAnsi="Times New Roman" w:cs="Times New Roman"/>
          <w:b/>
          <w:sz w:val="20"/>
          <w:szCs w:val="20"/>
          <w:lang w:val="en-US"/>
        </w:rPr>
        <w:t>resultID</w:t>
      </w:r>
      <w:proofErr w:type="spellEnd"/>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60" w:name="_Toc493890761"/>
      <w:r w:rsidRPr="00044A3D">
        <w:t>Naming</w:t>
      </w:r>
      <w:r w:rsidR="00F30FC7" w:rsidRPr="00044A3D">
        <w:t xml:space="preserve"> and Folder </w:t>
      </w:r>
      <w:r w:rsidRPr="00044A3D">
        <w:t>conventions</w:t>
      </w:r>
      <w:bookmarkEnd w:id="60"/>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proofErr w:type="spellStart"/>
      <w:r w:rsidRPr="007D1D3B">
        <w:rPr>
          <w:rFonts w:ascii="Times New Roman" w:hAnsi="Times New Roman" w:cs="Times New Roman"/>
          <w:b/>
          <w:sz w:val="20"/>
          <w:szCs w:val="20"/>
          <w:lang w:val="en-US"/>
        </w:rPr>
        <w:t>Calc</w:t>
      </w:r>
      <w:proofErr w:type="spellEnd"/>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04620E">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04620E">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572CF9"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572CF9"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lastRenderedPageBreak/>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thermodynamically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proofErr w:type="gramStart"/>
            <w:r w:rsidRPr="00AB4EEE">
              <w:rPr>
                <w:rFonts w:ascii="Times New Roman" w:hAnsi="Times New Roman"/>
                <w:b/>
              </w:rPr>
              <w:t>pm</w:t>
            </w:r>
            <w:r w:rsidR="00EC28F0">
              <w:rPr>
                <w:rFonts w:ascii="Times New Roman" w:hAnsi="Times New Roman"/>
              </w:rPr>
              <w:t xml:space="preserve"> ,</w:t>
            </w:r>
            <w:proofErr w:type="gramEnd"/>
            <w:r w:rsidR="00EC28F0">
              <w:rPr>
                <w:rFonts w:ascii="Times New Roman" w:hAnsi="Times New Roman"/>
              </w:rPr>
              <w:t xml:space="preserve"> </w:t>
            </w:r>
            <w:proofErr w:type="spellStart"/>
            <w:r w:rsidR="00EC28F0" w:rsidRPr="00EC28F0">
              <w:rPr>
                <w:rFonts w:ascii="Times New Roman" w:hAnsi="Times New Roman"/>
                <w:b/>
              </w:rPr>
              <w:t>zz</w:t>
            </w:r>
            <w:proofErr w:type="spellEnd"/>
            <w:r w:rsidR="00EC28F0">
              <w:rPr>
                <w:rFonts w:ascii="Times New Roman" w:hAnsi="Times New Roman"/>
              </w:rPr>
              <w:t xml:space="preserve">, or </w:t>
            </w:r>
            <w:proofErr w:type="spellStart"/>
            <w:r w:rsidR="00EC28F0" w:rsidRPr="00EC28F0">
              <w:rPr>
                <w:rFonts w:ascii="Times New Roman" w:hAnsi="Times New Roman"/>
                <w:b/>
              </w:rPr>
              <w:t>nn</w:t>
            </w:r>
            <w:proofErr w:type="spellEnd"/>
            <w:r w:rsidR="00EC28F0">
              <w:rPr>
                <w:rFonts w:ascii="Times New Roman" w:hAnsi="Times New Roman"/>
              </w:rPr>
              <w:t>.</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04620E">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proofErr w:type="spellStart"/>
            <w:r w:rsidR="00AD66FF" w:rsidRPr="00AF2602">
              <w:rPr>
                <w:rFonts w:ascii="Times New Roman" w:hAnsi="Times New Roman"/>
                <w:b/>
              </w:rPr>
              <w:t>Cmp</w:t>
            </w:r>
            <w:proofErr w:type="spellEnd"/>
            <w:r w:rsidR="00AD66FF">
              <w:rPr>
                <w:rFonts w:ascii="Times New Roman" w:hAnsi="Times New Roman"/>
              </w:rPr>
              <w:t xml:space="preserve"> / </w:t>
            </w:r>
            <w:proofErr w:type="spellStart"/>
            <w:r w:rsidR="00AD66FF" w:rsidRPr="00AF2602">
              <w:rPr>
                <w:rFonts w:ascii="Times New Roman" w:hAnsi="Times New Roman"/>
                <w:b/>
              </w:rPr>
              <w:t>Cpm</w:t>
            </w:r>
            <w:proofErr w:type="spellEnd"/>
            <w:r w:rsidR="00AD66FF">
              <w:rPr>
                <w:rFonts w:ascii="Times New Roman" w:hAnsi="Times New Roman"/>
              </w:rPr>
              <w:t xml:space="preserve"> coding.</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29475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29475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29475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29475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29475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572CF9"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572CF9"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Lzz</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Lzz</w:t>
            </w:r>
            <w:proofErr w:type="spellEnd"/>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En</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En</w:t>
            </w:r>
            <w:proofErr w:type="spellEnd"/>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572CF9"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572CF9"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AC20C8">
              <w:rPr>
                <w:rFonts w:ascii="Times New Roman" w:hAnsi="Times New Roman"/>
              </w:rPr>
              <w:t>“</w:t>
            </w:r>
            <w:r w:rsidR="00AD66FF">
              <w:rPr>
                <w:rFonts w:ascii="Times New Roman" w:hAnsi="Times New Roman"/>
              </w:rPr>
              <w:t>R</w:t>
            </w:r>
            <w:r w:rsidR="00AC20C8">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proofErr w:type="spellStart"/>
      <w:r w:rsidRPr="003171F5">
        <w:rPr>
          <w:rFonts w:ascii="Times New Roman" w:hAnsi="Times New Roman" w:cs="Times New Roman"/>
          <w:b/>
          <w:sz w:val="20"/>
          <w:szCs w:val="20"/>
          <w:lang w:val="en-US"/>
        </w:rPr>
        <w:t>Params</w:t>
      </w:r>
      <w:proofErr w:type="spellEnd"/>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into </w:t>
      </w:r>
      <w:proofErr w:type="spellStart"/>
      <w:r w:rsidR="00A34513" w:rsidRPr="00A34513">
        <w:rPr>
          <w:rFonts w:ascii="Times New Roman" w:hAnsi="Times New Roman" w:cs="Times New Roman"/>
          <w:b/>
          <w:sz w:val="20"/>
          <w:szCs w:val="20"/>
          <w:lang w:val="en-US"/>
        </w:rPr>
        <w:t>CnnAll</w:t>
      </w:r>
      <w:proofErr w:type="spellEnd"/>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 </w:t>
      </w:r>
      <w:proofErr w:type="spellStart"/>
      <w:r w:rsidR="00A34513" w:rsidRPr="00A34513">
        <w:rPr>
          <w:rFonts w:ascii="Times New Roman" w:hAnsi="Times New Roman" w:cs="Times New Roman"/>
          <w:b/>
          <w:sz w:val="20"/>
          <w:szCs w:val="20"/>
          <w:lang w:val="en-US"/>
        </w:rPr>
        <w:t>CpmAll</w:t>
      </w:r>
      <w:proofErr w:type="spellEnd"/>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CnnAll</w:t>
      </w:r>
      <w:proofErr w:type="spellEnd"/>
      <w:r>
        <w:rPr>
          <w:rFonts w:ascii="Times New Roman" w:hAnsi="Times New Roman" w:cs="Times New Roman"/>
          <w:sz w:val="20"/>
          <w:szCs w:val="20"/>
          <w:lang w:val="en-US"/>
        </w:rPr>
        <w:t xml:space="preserve"> and </w:t>
      </w:r>
      <w:proofErr w:type="spellStart"/>
      <w:r w:rsidRPr="00A34513">
        <w:rPr>
          <w:rFonts w:ascii="Times New Roman" w:hAnsi="Times New Roman" w:cs="Times New Roman"/>
          <w:b/>
          <w:sz w:val="20"/>
          <w:szCs w:val="20"/>
          <w:lang w:val="en-US"/>
        </w:rPr>
        <w:t>CpmAll</w:t>
      </w:r>
      <w:proofErr w:type="spellEnd"/>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proofErr w:type="spellStart"/>
      <w:r w:rsidR="00636A08" w:rsidRPr="00006DF0">
        <w:rPr>
          <w:rFonts w:ascii="Times New Roman" w:hAnsi="Times New Roman" w:cs="Times New Roman"/>
          <w:b/>
          <w:sz w:val="20"/>
          <w:szCs w:val="20"/>
          <w:lang w:val="en-US"/>
        </w:rPr>
        <w:t>CLM_ResultInfo.m</w:t>
      </w:r>
      <w:proofErr w:type="spellEnd"/>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20E" w:rsidRDefault="0004620E" w:rsidP="00BA12EB">
      <w:pPr>
        <w:spacing w:after="0" w:line="240" w:lineRule="auto"/>
      </w:pPr>
      <w:r>
        <w:separator/>
      </w:r>
    </w:p>
    <w:p w:rsidR="0004620E" w:rsidRDefault="0004620E"/>
  </w:endnote>
  <w:endnote w:type="continuationSeparator" w:id="0">
    <w:p w:rsidR="0004620E" w:rsidRDefault="0004620E" w:rsidP="00BA12EB">
      <w:pPr>
        <w:spacing w:after="0" w:line="240" w:lineRule="auto"/>
      </w:pPr>
      <w:r>
        <w:continuationSeparator/>
      </w:r>
    </w:p>
    <w:p w:rsidR="0004620E" w:rsidRDefault="00046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04620E" w:rsidRDefault="000462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0D6C">
          <w:rPr>
            <w:noProof/>
          </w:rPr>
          <w:t>33</w:t>
        </w:r>
        <w:r>
          <w:rPr>
            <w:noProof/>
          </w:rPr>
          <w:fldChar w:fldCharType="end"/>
        </w:r>
        <w:r>
          <w:t xml:space="preserve"> | </w:t>
        </w:r>
        <w:proofErr w:type="spellStart"/>
        <w:r>
          <w:rPr>
            <w:color w:val="7F7F7F" w:themeColor="background1" w:themeShade="7F"/>
            <w:spacing w:val="60"/>
          </w:rPr>
          <w:t>Page</w:t>
        </w:r>
        <w:proofErr w:type="spellEnd"/>
      </w:p>
    </w:sdtContent>
  </w:sdt>
  <w:p w:rsidR="0004620E" w:rsidRDefault="000462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20E" w:rsidRDefault="0004620E" w:rsidP="00BA12EB">
      <w:pPr>
        <w:spacing w:after="0" w:line="240" w:lineRule="auto"/>
      </w:pPr>
      <w:r>
        <w:separator/>
      </w:r>
    </w:p>
    <w:p w:rsidR="0004620E" w:rsidRDefault="0004620E"/>
  </w:footnote>
  <w:footnote w:type="continuationSeparator" w:id="0">
    <w:p w:rsidR="0004620E" w:rsidRDefault="0004620E" w:rsidP="00BA12EB">
      <w:pPr>
        <w:spacing w:after="0" w:line="240" w:lineRule="auto"/>
      </w:pPr>
      <w:r>
        <w:continuationSeparator/>
      </w:r>
    </w:p>
    <w:p w:rsidR="0004620E" w:rsidRDefault="000462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20E" w:rsidRPr="001C1530" w:rsidRDefault="0004620E" w:rsidP="001C1530">
    <w:pPr>
      <w:pStyle w:val="Header"/>
      <w:jc w:val="right"/>
      <w:rPr>
        <w:b/>
        <w:sz w:val="16"/>
        <w:szCs w:val="16"/>
        <w:lang w:val="en-US"/>
      </w:rPr>
    </w:pPr>
    <w:r w:rsidRPr="001C1530">
      <w:rPr>
        <w:b/>
        <w:sz w:val="16"/>
        <w:szCs w:val="16"/>
        <w:lang w:val="en-US"/>
      </w:rPr>
      <w:t>Version 0.</w:t>
    </w:r>
    <w:r>
      <w:rPr>
        <w:b/>
        <w:sz w:val="16"/>
        <w:szCs w:val="16"/>
        <w:lang w:val="en-US"/>
      </w:rPr>
      <w:t>37, September 22, 2017.</w:t>
    </w:r>
  </w:p>
  <w:p w:rsidR="0004620E" w:rsidRDefault="000462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931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15E3"/>
    <w:rsid w:val="000A25BC"/>
    <w:rsid w:val="000A2FDE"/>
    <w:rsid w:val="000A4990"/>
    <w:rsid w:val="000A50E5"/>
    <w:rsid w:val="000A52BB"/>
    <w:rsid w:val="000A5952"/>
    <w:rsid w:val="000A7FF6"/>
    <w:rsid w:val="000B1AC6"/>
    <w:rsid w:val="000B2445"/>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6186"/>
    <w:rsid w:val="000E69CE"/>
    <w:rsid w:val="000F07F1"/>
    <w:rsid w:val="000F195B"/>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129FA"/>
    <w:rsid w:val="00113D7F"/>
    <w:rsid w:val="00114C64"/>
    <w:rsid w:val="001151FC"/>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60F0"/>
    <w:rsid w:val="001B634B"/>
    <w:rsid w:val="001B7790"/>
    <w:rsid w:val="001C05B8"/>
    <w:rsid w:val="001C07EC"/>
    <w:rsid w:val="001C0BA7"/>
    <w:rsid w:val="001C0D25"/>
    <w:rsid w:val="001C1530"/>
    <w:rsid w:val="001C1632"/>
    <w:rsid w:val="001C19B9"/>
    <w:rsid w:val="001C2175"/>
    <w:rsid w:val="001C26B3"/>
    <w:rsid w:val="001C274C"/>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7DEA"/>
    <w:rsid w:val="0029054D"/>
    <w:rsid w:val="00290730"/>
    <w:rsid w:val="00290CE1"/>
    <w:rsid w:val="00291060"/>
    <w:rsid w:val="002918E8"/>
    <w:rsid w:val="00291E8A"/>
    <w:rsid w:val="0029240D"/>
    <w:rsid w:val="00293EF1"/>
    <w:rsid w:val="0029475F"/>
    <w:rsid w:val="00294CAF"/>
    <w:rsid w:val="0029528E"/>
    <w:rsid w:val="0029552A"/>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B58"/>
    <w:rsid w:val="002A5594"/>
    <w:rsid w:val="002A5B71"/>
    <w:rsid w:val="002A7760"/>
    <w:rsid w:val="002B2D59"/>
    <w:rsid w:val="002B2E2C"/>
    <w:rsid w:val="002B3D2F"/>
    <w:rsid w:val="002B47AB"/>
    <w:rsid w:val="002B503D"/>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301D6"/>
    <w:rsid w:val="00431267"/>
    <w:rsid w:val="00431698"/>
    <w:rsid w:val="00431841"/>
    <w:rsid w:val="00431FAB"/>
    <w:rsid w:val="0043306D"/>
    <w:rsid w:val="00433230"/>
    <w:rsid w:val="004337E9"/>
    <w:rsid w:val="0043385A"/>
    <w:rsid w:val="00433E82"/>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375"/>
    <w:rsid w:val="0053675A"/>
    <w:rsid w:val="00537293"/>
    <w:rsid w:val="00537998"/>
    <w:rsid w:val="00540CA0"/>
    <w:rsid w:val="00540E11"/>
    <w:rsid w:val="00541039"/>
    <w:rsid w:val="0054297C"/>
    <w:rsid w:val="00542A4B"/>
    <w:rsid w:val="005437DB"/>
    <w:rsid w:val="00545B8D"/>
    <w:rsid w:val="00546259"/>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391E"/>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4862"/>
    <w:rsid w:val="006F5259"/>
    <w:rsid w:val="006F684A"/>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65D"/>
    <w:rsid w:val="0071085B"/>
    <w:rsid w:val="00710C9D"/>
    <w:rsid w:val="00711C4E"/>
    <w:rsid w:val="00711DD8"/>
    <w:rsid w:val="007125A5"/>
    <w:rsid w:val="007128AA"/>
    <w:rsid w:val="007130F8"/>
    <w:rsid w:val="0071407E"/>
    <w:rsid w:val="0071501F"/>
    <w:rsid w:val="00715079"/>
    <w:rsid w:val="00715CAA"/>
    <w:rsid w:val="0071604A"/>
    <w:rsid w:val="00717E91"/>
    <w:rsid w:val="00720FFF"/>
    <w:rsid w:val="00721D26"/>
    <w:rsid w:val="007221F3"/>
    <w:rsid w:val="0072277C"/>
    <w:rsid w:val="00723849"/>
    <w:rsid w:val="00723AFA"/>
    <w:rsid w:val="00724621"/>
    <w:rsid w:val="007248AD"/>
    <w:rsid w:val="007251E3"/>
    <w:rsid w:val="0072589F"/>
    <w:rsid w:val="00725DDC"/>
    <w:rsid w:val="0072667A"/>
    <w:rsid w:val="00726FA6"/>
    <w:rsid w:val="00727BC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238D"/>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BF"/>
    <w:rsid w:val="007D1D3B"/>
    <w:rsid w:val="007D2531"/>
    <w:rsid w:val="007D34C9"/>
    <w:rsid w:val="007D3746"/>
    <w:rsid w:val="007D412C"/>
    <w:rsid w:val="007D436B"/>
    <w:rsid w:val="007D47BD"/>
    <w:rsid w:val="007D5116"/>
    <w:rsid w:val="007D5E52"/>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5085"/>
    <w:rsid w:val="008763A4"/>
    <w:rsid w:val="008809AC"/>
    <w:rsid w:val="00880C4F"/>
    <w:rsid w:val="00880D41"/>
    <w:rsid w:val="00882DAD"/>
    <w:rsid w:val="00882FD1"/>
    <w:rsid w:val="00883B2C"/>
    <w:rsid w:val="00883C23"/>
    <w:rsid w:val="00883FA1"/>
    <w:rsid w:val="00885361"/>
    <w:rsid w:val="00887B1D"/>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882"/>
    <w:rsid w:val="009558EC"/>
    <w:rsid w:val="00955EA8"/>
    <w:rsid w:val="0095638E"/>
    <w:rsid w:val="00956519"/>
    <w:rsid w:val="00956703"/>
    <w:rsid w:val="00956CF5"/>
    <w:rsid w:val="009611C3"/>
    <w:rsid w:val="00962A56"/>
    <w:rsid w:val="00963BB9"/>
    <w:rsid w:val="00963BFF"/>
    <w:rsid w:val="009657CA"/>
    <w:rsid w:val="00965E90"/>
    <w:rsid w:val="00966FCD"/>
    <w:rsid w:val="0096721A"/>
    <w:rsid w:val="00967D8E"/>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5ED5"/>
    <w:rsid w:val="009C6129"/>
    <w:rsid w:val="009C6147"/>
    <w:rsid w:val="009C645A"/>
    <w:rsid w:val="009C79D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6220"/>
    <w:rsid w:val="009F626E"/>
    <w:rsid w:val="009F66F6"/>
    <w:rsid w:val="009F6CC0"/>
    <w:rsid w:val="009F7B3E"/>
    <w:rsid w:val="009F7DB4"/>
    <w:rsid w:val="00A01830"/>
    <w:rsid w:val="00A0202E"/>
    <w:rsid w:val="00A038CC"/>
    <w:rsid w:val="00A03DCC"/>
    <w:rsid w:val="00A05AB2"/>
    <w:rsid w:val="00A05B23"/>
    <w:rsid w:val="00A062C1"/>
    <w:rsid w:val="00A06C92"/>
    <w:rsid w:val="00A0768F"/>
    <w:rsid w:val="00A11008"/>
    <w:rsid w:val="00A119A6"/>
    <w:rsid w:val="00A13498"/>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73D0"/>
    <w:rsid w:val="00A27874"/>
    <w:rsid w:val="00A27C9A"/>
    <w:rsid w:val="00A311E9"/>
    <w:rsid w:val="00A31C3E"/>
    <w:rsid w:val="00A3295E"/>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5564"/>
    <w:rsid w:val="00BF6066"/>
    <w:rsid w:val="00BF63B4"/>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FEC"/>
    <w:rsid w:val="00C775A2"/>
    <w:rsid w:val="00C7791D"/>
    <w:rsid w:val="00C77980"/>
    <w:rsid w:val="00C813DF"/>
    <w:rsid w:val="00C81987"/>
    <w:rsid w:val="00C83669"/>
    <w:rsid w:val="00C84161"/>
    <w:rsid w:val="00C84C85"/>
    <w:rsid w:val="00C85E8E"/>
    <w:rsid w:val="00C86696"/>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6CD"/>
    <w:rsid w:val="00D7322D"/>
    <w:rsid w:val="00D735F5"/>
    <w:rsid w:val="00D73639"/>
    <w:rsid w:val="00D73B6A"/>
    <w:rsid w:val="00D73FEB"/>
    <w:rsid w:val="00D7415E"/>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B03CD"/>
    <w:rsid w:val="00DB0B24"/>
    <w:rsid w:val="00DB1537"/>
    <w:rsid w:val="00DB1601"/>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78F1"/>
    <w:rsid w:val="00DE03F9"/>
    <w:rsid w:val="00DE0852"/>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6AF6"/>
    <w:rsid w:val="00E06CFC"/>
    <w:rsid w:val="00E074DB"/>
    <w:rsid w:val="00E10A99"/>
    <w:rsid w:val="00E1183E"/>
    <w:rsid w:val="00E11B33"/>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4178"/>
    <w:rsid w:val="00E3529C"/>
    <w:rsid w:val="00E35634"/>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C099F"/>
    <w:rsid w:val="00EC0C32"/>
    <w:rsid w:val="00EC2029"/>
    <w:rsid w:val="00EC24AD"/>
    <w:rsid w:val="00EC28F0"/>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214C"/>
    <w:rsid w:val="00F242BF"/>
    <w:rsid w:val="00F24DA8"/>
    <w:rsid w:val="00F25B29"/>
    <w:rsid w:val="00F25D52"/>
    <w:rsid w:val="00F2678B"/>
    <w:rsid w:val="00F272C3"/>
    <w:rsid w:val="00F27B23"/>
    <w:rsid w:val="00F30666"/>
    <w:rsid w:val="00F30735"/>
    <w:rsid w:val="00F30FC7"/>
    <w:rsid w:val="00F31C8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7550"/>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3185"/>
    <o:shapelayout v:ext="edit">
      <o:idmap v:ext="edit" data="1"/>
    </o:shapelayout>
  </w:shapeDefaults>
  <w:decimalSymbol w:val="."/>
  <w:listSeparator w:val=","/>
  <w14:docId w14:val="60DF7560"/>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5343F-31B8-4CEA-9F55-8267AF8F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34</Pages>
  <Words>14456</Words>
  <Characters>82401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33</cp:revision>
  <cp:lastPrinted>2016-10-18T05:45:00Z</cp:lastPrinted>
  <dcterms:created xsi:type="dcterms:W3CDTF">2017-09-23T04:22:00Z</dcterms:created>
  <dcterms:modified xsi:type="dcterms:W3CDTF">2017-09-23T23:32:00Z</dcterms:modified>
</cp:coreProperties>
</file>