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t xml:space="preserve">预习报告部分</w:t>
      </w:r>
    </w:p>
    <w:bookmarkStart w:id="20" w:name="一实验目的"/>
    <w:p>
      <w:pPr>
        <w:pStyle w:val="2"/>
      </w:pPr>
      <w:r>
        <w:t xml:space="preserve">一、实验目的</w:t>
      </w:r>
    </w:p>
    <w:p>
      <w:pPr>
        <w:pStyle w:val="FirstParagraph"/>
      </w:pPr>
      <w:r>
        <w:t xml:space="preserve">（1）进一步加强同学们对VHDL语言的理解和掌握，提升VHDL语言应用能力。</w:t>
      </w:r>
    </w:p>
    <w:p>
      <w:pPr>
        <w:pStyle w:val="a0"/>
      </w:pPr>
      <w:r>
        <w:t xml:space="preserve">（2）锻炼同学们综合运用所学知识，理论结合实际，解决实际开发中所遇问题的能力。</w:t>
      </w:r>
    </w:p>
    <w:p>
      <w:pPr>
        <w:pStyle w:val="a0"/>
      </w:pPr>
      <w:r>
        <w:t xml:space="preserve">（3）培养同学们文献查阅能力、自主学习能力、综合设计能力，进一步提高同学们的科学研究素养。</w:t>
      </w:r>
    </w:p>
    <w:bookmarkEnd w:id="20"/>
    <w:bookmarkStart w:id="26" w:name="二实验原理"/>
    <w:p>
      <w:pPr>
        <w:pStyle w:val="2"/>
      </w:pPr>
      <w:r>
        <w:t xml:space="preserve">二、实验原理</w:t>
      </w:r>
    </w:p>
    <w:bookmarkStart w:id="21" w:name="矩阵键盘工作原理"/>
    <w:p>
      <w:pPr>
        <w:pStyle w:val="3"/>
      </w:pPr>
      <w:r>
        <w:t xml:space="preserve">（1）4×4矩阵键盘工作原理</w:t>
      </w:r>
    </w:p>
    <w:p>
      <w:pPr>
        <w:pStyle w:val="FirstParagraph"/>
      </w:pPr>
      <w:r>
        <w:t xml:space="preserve">4×4矩阵键盘由4行（Row）和4列（Column）组成，行线与列线交叉处放置按键。键盘扫描的基本原理是：轮流将某一行设置为低电平（低有效选通），同时读取4列的电平状态。如果某一列在当前行被选中时为低电平，则说明该行该列交叉处的按键被按下。</w:t>
      </w:r>
    </w:p>
    <w:p>
      <w:pPr>
        <w:pStyle w:val="a0"/>
      </w:pPr>
      <w:r>
        <w:t xml:space="preserve">按键识别是整个系统的关键环节，既要正确判断键盘中有无按键按下，又要正确判断按键所在位置。机械按键在按下和释放瞬间会产生抖动信号（抖动时间通常为5~10ms），若不进行去抖处理，会导致一次按键被识别为多次按下。为了保持信号的稳定性，必须完成去抖动工作。</w:t>
      </w:r>
    </w:p>
    <w:p>
      <w:pPr>
        <w:pStyle w:val="a0"/>
      </w:pPr>
      <w:r>
        <w:t xml:space="preserve">本实验采用的去抖方法是帧级去抖：按固定节拍扫描4行形成一帧，连续若干帧检测到同一键值后才确认按键有效，输出一次有效脉冲信号。释放时同样需要连续稳定帧确认，保证「按下只触发一次」。</w:t>
      </w:r>
    </w:p>
    <w:bookmarkEnd w:id="21"/>
    <w:bookmarkStart w:id="22" w:name="键盘按键映射"/>
    <w:p>
      <w:pPr>
        <w:pStyle w:val="3"/>
      </w:pPr>
      <w:r>
        <w:t xml:space="preserve">（2）键盘按键映射</w:t>
      </w:r>
    </w:p>
    <w:p>
      <w:pPr>
        <w:pStyle w:val="FirstParagraph"/>
      </w:pPr>
      <w:r>
        <w:t xml:space="preserve">本实验采用常见的4×4矩阵键盘布局，16个按键按以下方式映射：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按键位置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1、2、3、A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4、5、6、B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7、8、9、C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*、0、#、D</w:t>
            </w:r>
          </w:p>
        </w:tc>
      </w:tr>
    </w:tbl>
    <w:p>
      <w:pPr>
        <w:pStyle w:val="a0"/>
      </w:pPr>
      <w:r>
        <w:t xml:space="preserve">其中：数字键0~9用于输入矩阵元素，A键作为模式切换键，B键执行加法运算，C键执行乘法运算，D键用于切换矩阵A/B输入，*键和#键作为功能确认/取消键。</w:t>
      </w:r>
    </w:p>
    <w:bookmarkEnd w:id="22"/>
    <w:bookmarkStart w:id="23" w:name="矩阵运算原理"/>
    <w:p>
      <w:pPr>
        <w:pStyle w:val="3"/>
      </w:pPr>
      <w:r>
        <w:t xml:space="preserve">（3）2×2矩阵运算原理</w:t>
      </w:r>
    </w:p>
    <w:p>
      <w:pPr>
        <w:pStyle w:val="FirstParagraph"/>
      </w:pPr>
      <w:r>
        <w:t xml:space="preserve">设2×2矩阵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为：</w:t>
      </w:r>
    </w:p>
    <w:p>
      <w:pPr>
        <w:pStyle w:val="a0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矩阵加法</w:t>
      </w:r>
      <w:r>
        <w:t xml:space="preserve">：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，逐元素相加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矩阵乘法</w:t>
      </w:r>
      <w:r>
        <w:t xml:space="preserve">：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B</m:t>
        </m:r>
      </m:oMath>
    </w:p>
    <w:p>
      <w:pPr>
        <w:pStyle w:val="a0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t>11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11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12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21</m:t>
                    </m:r>
                  </m:sub>
                </m:sSub>
              </m:e>
            </m:m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t>12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11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12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22</m:t>
                    </m:r>
                  </m:sub>
                </m:sSub>
              </m:e>
            </m:m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t>21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21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21</m:t>
                    </m:r>
                  </m:sub>
                </m:sSub>
              </m:e>
            </m:m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t>22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21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22</m:t>
                    </m:r>
                  </m:sub>
                </m:sSub>
              </m:e>
            </m:mr>
          </m:m>
        </m:oMath>
      </m:oMathPara>
    </w:p>
    <w:p>
      <w:pPr>
        <w:pStyle w:val="FirstParagraph"/>
      </w:pPr>
      <w:r>
        <w:rPr>
          <w:bCs/>
          <w:b/>
        </w:rPr>
        <w:t xml:space="preserve">矩阵转置</w:t>
      </w:r>
      <w:r>
        <w:t xml:space="preserve">：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通过交换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实现</w:t>
      </w:r>
    </w:p>
    <w:p>
      <w:pPr>
        <w:pStyle w:val="a0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行列式</w:t>
      </w:r>
      <w:r>
        <w:t xml:space="preserve">：</w:t>
      </w:r>
      <m:oMath>
        <m:r>
          <m:rPr>
            <m:sty m:val="p"/>
          </m:rPr>
          <m:t>det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</w:p>
    <w:p>
      <w:pPr>
        <w:pStyle w:val="a0"/>
      </w:pPr>
      <w:r>
        <w:rPr>
          <w:bCs/>
          <w:b/>
        </w:rPr>
        <w:t xml:space="preserve">矩阵乘方</w:t>
      </w:r>
      <w:r>
        <w:t xml:space="preserve">：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可用快速幂思想转化为多次矩阵乘法，硬件上采用多周期方式实现</w:t>
      </w:r>
    </w:p>
    <w:p>
      <w:pPr>
        <w:pStyle w:val="a0"/>
      </w:pPr>
      <w:r>
        <w:rPr>
          <w:bCs/>
          <w:b/>
        </w:rPr>
        <w:t xml:space="preserve">模方</w:t>
      </w:r>
      <w:r>
        <w:t xml:space="preserve">：本实验自定义运算，先求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t xml:space="preserve">，再计算四元素平方和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m</m:t>
              </m:r>
            </m:e>
            <m:sub>
              <m:r>
                <m:t>12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m</m:t>
              </m:r>
            </m:e>
            <m:sub>
              <m:r>
                <m:t>21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m</m:t>
              </m:r>
            </m:e>
            <m:sub>
              <m:r>
                <m:t>22</m:t>
              </m:r>
            </m:sub>
            <m:sup>
              <m:r>
                <m:t>2</m:t>
              </m:r>
            </m:sup>
          </m:sSubSup>
        </m:oMath>
      </m:oMathPara>
    </w:p>
    <w:bookmarkEnd w:id="23"/>
    <w:bookmarkStart w:id="24" w:name="动态扫描显示原理"/>
    <w:p>
      <w:pPr>
        <w:pStyle w:val="3"/>
      </w:pPr>
      <w:r>
        <w:t xml:space="preserve">（4）动态扫描显示原理</w:t>
      </w:r>
    </w:p>
    <w:p>
      <w:pPr>
        <w:pStyle w:val="FirstParagraph"/>
      </w:pPr>
      <w:r>
        <w:t xml:space="preserve">实验平台数码管与16×16 LED点阵均采用动态扫描显示方式。动态扫描的原理是：轮流选通各位数码管（或LED点阵的各行），在选通期间送出相应的段码（或列数据），利用人眼的视觉暂留作用（视觉暂留时间约为1/24秒），产生多位数码管同时显示的效果。</w:t>
      </w:r>
    </w:p>
    <w:p>
      <w:pPr>
        <w:pStyle w:val="a0"/>
      </w:pPr>
      <w:r>
        <w:t xml:space="preserve">数码管显示部分采用动态扫描显示，即轮流向数码管送出字形码和位选信号，利用人的视觉暂留作用，产生数码管同时显示的效果。由于实验平台数码管与LED点阵均为低电平点亮，为节省I/O口并保证显示亮度与稳定性，必须保证足够的刷新频率（通常大于50Hz）。</w:t>
      </w:r>
    </w:p>
    <w:bookmarkEnd w:id="24"/>
    <w:bookmarkStart w:id="25" w:name="多周期运算原理"/>
    <w:p>
      <w:pPr>
        <w:pStyle w:val="3"/>
      </w:pPr>
      <w:r>
        <w:t xml:space="preserve">（5）多周期运算原理</w:t>
      </w:r>
    </w:p>
    <w:p>
      <w:pPr>
        <w:pStyle w:val="FirstParagraph"/>
      </w:pPr>
      <w:r>
        <w:t xml:space="preserve">在FPGA上实现整数运算，特别是除法运算，需要采用多周期操作。矩阵运算中的除法（如行列式非零时的逆矩阵计算）可采用移位相减法或查表法实现。乘方运算采用快速幂算法，将指数的二进制位分解，通过多次乘法和平方操作完成多周期运算。</w:t>
      </w:r>
    </w:p>
    <w:bookmarkEnd w:id="25"/>
    <w:bookmarkEnd w:id="26"/>
    <w:bookmarkStart w:id="27" w:name="三实验内容"/>
    <w:p>
      <w:pPr>
        <w:pStyle w:val="2"/>
      </w:pPr>
      <w:r>
        <w:t xml:space="preserve">三、实验内容</w:t>
      </w:r>
    </w:p>
    <w:p>
      <w:pPr>
        <w:numPr>
          <w:ilvl w:val="0"/>
          <w:numId w:val="1001"/>
        </w:numPr>
      </w:pPr>
      <w:r>
        <w:t xml:space="preserve">根据键盘工作原理，设计并实现矩阵键盘的扫描。</w:t>
      </w:r>
    </w:p>
    <w:p>
      <w:pPr>
        <w:numPr>
          <w:ilvl w:val="0"/>
          <w:numId w:val="1001"/>
        </w:numPr>
      </w:pPr>
      <w:r>
        <w:t xml:space="preserve">规划键盘，设定数字和运算符按键。</w:t>
      </w:r>
    </w:p>
    <w:p>
      <w:pPr>
        <w:numPr>
          <w:ilvl w:val="0"/>
          <w:numId w:val="1001"/>
        </w:numPr>
      </w:pPr>
      <w:r>
        <w:t xml:space="preserve">通过键盘阵列实现矩阵的输入，并在LED点阵上显示。</w:t>
      </w:r>
    </w:p>
    <w:p>
      <w:pPr>
        <w:numPr>
          <w:ilvl w:val="0"/>
          <w:numId w:val="1001"/>
        </w:numPr>
      </w:pPr>
      <w:r>
        <w:t xml:space="preserve">将矩阵数据进行运算，运算结果在数码管上显示和LED点阵上显示。</w:t>
      </w:r>
    </w:p>
    <w:p>
      <w:pPr>
        <w:numPr>
          <w:ilvl w:val="0"/>
          <w:numId w:val="1001"/>
        </w:numPr>
      </w:pPr>
      <w:r>
        <w:t xml:space="preserve">本实验所处理的矩阵为2×2矩阵，矩阵运算包括对矩阵求转置、求乘方、求行列式、模方（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t xml:space="preserve">的所有元素的平方和）等功能。</w:t>
      </w:r>
    </w:p>
    <w:bookmarkEnd w:id="27"/>
    <w:bookmarkStart w:id="28" w:name="四实验所用设备"/>
    <w:p>
      <w:pPr>
        <w:pStyle w:val="2"/>
      </w:pPr>
      <w:r>
        <w:t xml:space="preserve">四、实验所用设备</w:t>
      </w:r>
    </w:p>
    <w:p>
      <w:pPr>
        <w:numPr>
          <w:ilvl w:val="0"/>
          <w:numId w:val="1002"/>
        </w:numPr>
      </w:pPr>
      <w:r>
        <w:t xml:space="preserve">实验室PC（Quartus II 13.1或等效版本）</w:t>
      </w:r>
    </w:p>
    <w:p>
      <w:pPr>
        <w:numPr>
          <w:ilvl w:val="0"/>
          <w:numId w:val="1002"/>
        </w:numPr>
      </w:pPr>
      <w:r>
        <w:t xml:space="preserve">FPGA实验箱HDLE-2（Cyclone III：EP3C16Q240C8）</w:t>
      </w:r>
    </w:p>
    <w:p>
      <w:pPr>
        <w:numPr>
          <w:ilvl w:val="0"/>
          <w:numId w:val="1002"/>
        </w:numPr>
      </w:pPr>
      <w:r>
        <w:t xml:space="preserve">USB-Blaster下载线</w:t>
      </w:r>
    </w:p>
    <w:p>
      <w:pPr>
        <w:numPr>
          <w:ilvl w:val="0"/>
          <w:numId w:val="1002"/>
        </w:numPr>
      </w:pPr>
      <w:r>
        <w:t xml:space="preserve">实验箱外设：4×4矩阵键盘、16×16 LED点阵、6位数码管、LED灯条、蜂鸣器</w:t>
      </w:r>
    </w:p>
    <w:bookmarkEnd w:id="28"/>
    <w:bookmarkStart w:id="29" w:name="五实验步骤"/>
    <w:p>
      <w:pPr>
        <w:pStyle w:val="2"/>
      </w:pPr>
      <w:r>
        <w:t xml:space="preserve">五、实验步骤</w:t>
      </w:r>
    </w:p>
    <w:p>
      <w:pPr>
        <w:numPr>
          <w:ilvl w:val="0"/>
          <w:numId w:val="1003"/>
        </w:numPr>
      </w:pPr>
      <w:r>
        <w:t xml:space="preserve">建立工程</w:t>
      </w:r>
    </w:p>
    <w:p>
      <w:pPr>
        <w:numPr>
          <w:ilvl w:val="0"/>
          <w:numId w:val="1003"/>
        </w:numPr>
      </w:pPr>
      <w:r>
        <w:t xml:space="preserve">编辑代码</w:t>
      </w:r>
    </w:p>
    <w:p>
      <w:pPr>
        <w:numPr>
          <w:ilvl w:val="0"/>
          <w:numId w:val="1003"/>
        </w:numPr>
      </w:pPr>
      <w:r>
        <w:t xml:space="preserve">编译及修改错误</w:t>
      </w:r>
    </w:p>
    <w:p>
      <w:pPr>
        <w:numPr>
          <w:ilvl w:val="0"/>
          <w:numId w:val="1003"/>
        </w:numPr>
      </w:pPr>
      <w:r>
        <w:t xml:space="preserve">实验平台装载程序</w:t>
      </w:r>
    </w:p>
    <w:p>
      <w:pPr>
        <w:numPr>
          <w:ilvl w:val="0"/>
          <w:numId w:val="1003"/>
        </w:numPr>
      </w:pPr>
      <w:r>
        <w:t xml:space="preserve">演示实验结果</w:t>
      </w:r>
    </w:p>
    <w:p>
      <w:pPr>
        <w:pStyle w:val="a5"/>
      </w:pPr>
      <w:r>
        <w:t xml:space="preserve">实验报告部分</w:t>
      </w:r>
    </w:p>
    <w:bookmarkEnd w:id="29"/>
    <w:bookmarkStart w:id="39" w:name="一实验步骤"/>
    <w:p>
      <w:pPr>
        <w:pStyle w:val="2"/>
      </w:pPr>
      <w:r>
        <w:t xml:space="preserve">一、实验步骤</w:t>
      </w:r>
    </w:p>
    <w:bookmarkStart w:id="30" w:name="工程建立与模块划分"/>
    <w:p>
      <w:pPr>
        <w:pStyle w:val="3"/>
      </w:pPr>
      <w:r>
        <w:t xml:space="preserve">（1）工程建立与模块划分</w:t>
      </w:r>
    </w:p>
    <w:p>
      <w:pPr>
        <w:pStyle w:val="FirstParagraph"/>
      </w:pPr>
      <w:r>
        <w:t xml:space="preserve">在exp14/目录建立Quartus工程exp14_top，并将系统拆分为四个核心模块，便于独立调试与复用：</w:t>
      </w:r>
    </w:p>
    <w:p>
      <w:pPr>
        <w:numPr>
          <w:ilvl w:val="0"/>
          <w:numId w:val="1004"/>
        </w:numPr>
      </w:pPr>
      <w:r>
        <w:t xml:space="preserve">key_scanner.vhd：矩阵键盘扫描、去抖与键值解码，输出key_strobe/key_val</w:t>
      </w:r>
    </w:p>
    <w:p>
      <w:pPr>
        <w:numPr>
          <w:ilvl w:val="0"/>
          <w:numId w:val="1004"/>
        </w:numPr>
      </w:pPr>
      <w:r>
        <w:t xml:space="preserve">matrix_calculator.vhd：矩阵A/B寄存器、模式状态机与运算（加/乘/转置/乘方/行列式/模方）</w:t>
      </w:r>
    </w:p>
    <w:p>
      <w:pPr>
        <w:numPr>
          <w:ilvl w:val="0"/>
          <w:numId w:val="1004"/>
        </w:numPr>
      </w:pPr>
      <w:r>
        <w:t xml:space="preserve">seg6_mux.vhd：6位数码管动态扫描（位选/段选均低有效）</w:t>
      </w:r>
    </w:p>
    <w:p>
      <w:pPr>
        <w:numPr>
          <w:ilvl w:val="0"/>
          <w:numId w:val="1004"/>
        </w:numPr>
      </w:pPr>
      <w:r>
        <w:t xml:space="preserve">led_matrix_2x2_hex.vhd：16×16 LED点阵动态扫描与2×2数字显示（行列均低有效）</w:t>
      </w:r>
    </w:p>
    <w:bookmarkEnd w:id="30"/>
    <w:bookmarkStart w:id="31" w:name="引脚约束与外设有效电平确认"/>
    <w:p>
      <w:pPr>
        <w:pStyle w:val="3"/>
      </w:pPr>
      <w:r>
        <w:t xml:space="preserve">（2）引脚约束与外设有效电平确认</w:t>
      </w:r>
    </w:p>
    <w:p>
      <w:pPr>
        <w:pStyle w:val="FirstParagraph"/>
      </w:pPr>
      <w:r>
        <w:t xml:space="preserve">依据实验箱硬件资料与exp14_top.qsf完成引脚分配。关键约束包括：clk（PIN_210，24MHz连续时钟）、reset（PIN_151，复位按钮）、buzzer（PIN_174），以及键盘、点阵、数码管、LED灯条等外设引脚。由于多数字段为低电平有效，顶层集成时需统一内部有效电平，并在输出端正确取反。</w:t>
      </w:r>
    </w:p>
    <w:bookmarkEnd w:id="31"/>
    <w:bookmarkStart w:id="32" w:name="核心模块实现要点"/>
    <w:p>
      <w:pPr>
        <w:pStyle w:val="3"/>
      </w:pPr>
      <w:r>
        <w:t xml:space="preserve">（3）核心模块实现要点</w:t>
      </w:r>
    </w:p>
    <w:p>
      <w:pPr>
        <w:numPr>
          <w:ilvl w:val="0"/>
          <w:numId w:val="1005"/>
        </w:numPr>
      </w:pPr>
      <w:r>
        <w:t xml:space="preserve">键盘扫描模块：逐行扫描并在每帧完成后解码键值，采用帧级去抖，按下后只输出一次key_strobe，保证运算模块不会因抖动/长按重复触发。</w:t>
      </w:r>
    </w:p>
    <w:p>
      <w:pPr>
        <w:numPr>
          <w:ilvl w:val="0"/>
          <w:numId w:val="1005"/>
        </w:numPr>
      </w:pPr>
      <w:r>
        <w:t xml:space="preserve">运算核心模块：使用状态机组织交互流程，编辑模式用于录入矩阵，结果查看模式用于显示加/乘结果，单矩阵模式提供转置/乘方/行列式/模方等操作；乘方采用多周期快速幂实现，计算结束后回写矩阵寄存器。</w:t>
      </w:r>
    </w:p>
    <w:p>
      <w:pPr>
        <w:numPr>
          <w:ilvl w:val="0"/>
          <w:numId w:val="1005"/>
        </w:numPr>
      </w:pPr>
      <w:r>
        <w:t xml:space="preserve">显示模块：数码管与点阵均采用动态扫描，保证刷新频率足够高以消除肉眼闪烁。</w:t>
      </w:r>
    </w:p>
    <w:bookmarkEnd w:id="32"/>
    <w:bookmarkStart w:id="33" w:name="仿真自检"/>
    <w:p>
      <w:pPr>
        <w:pStyle w:val="3"/>
      </w:pPr>
      <w:r>
        <w:t xml:space="preserve">（4）仿真自检</w:t>
      </w:r>
    </w:p>
    <w:p>
      <w:pPr>
        <w:pStyle w:val="FirstParagraph"/>
      </w:pPr>
      <w:r>
        <w:t xml:space="preserve">在上板前，编写key_scanner_tb.vhd与matrix_calculator_tb.vhd进行自检。自检重点覆盖：</w:t>
      </w:r>
    </w:p>
    <w:p>
      <w:pPr>
        <w:numPr>
          <w:ilvl w:val="0"/>
          <w:numId w:val="1006"/>
        </w:numPr>
      </w:pPr>
      <w:r>
        <w:t xml:space="preserve">键盘按下的去抖确认是否只触发一次</w:t>
      </w:r>
    </w:p>
    <w:p>
      <w:pPr>
        <w:numPr>
          <w:ilvl w:val="0"/>
          <w:numId w:val="1006"/>
        </w:numPr>
      </w:pPr>
      <w:r>
        <w:t xml:space="preserve">矩阵输入顺序与光标推进是否正确</w:t>
      </w:r>
    </w:p>
    <w:p>
      <w:pPr>
        <w:numPr>
          <w:ilvl w:val="0"/>
          <w:numId w:val="1006"/>
        </w:numPr>
      </w:pPr>
      <w:r>
        <w:t xml:space="preserve">A/B切换、结果查看返回逻辑是否正确</w:t>
      </w:r>
    </w:p>
    <w:p>
      <w:pPr>
        <w:numPr>
          <w:ilvl w:val="0"/>
          <w:numId w:val="1006"/>
        </w:numPr>
      </w:pPr>
      <w:r>
        <w:t xml:space="preserve">A+B、A×B、行列式、模方、乘方等运算是否符合理论</w:t>
      </w:r>
    </w:p>
    <w:bookmarkEnd w:id="33"/>
    <w:bookmarkStart w:id="37" w:name="编译与下载"/>
    <w:p>
      <w:pPr>
        <w:pStyle w:val="3"/>
      </w:pPr>
      <w:r>
        <w:t xml:space="preserve">（5）编译与下载</w:t>
      </w:r>
    </w:p>
    <w:p>
      <w:pPr>
        <w:pStyle w:val="FirstParagraph"/>
      </w:pPr>
      <w:r>
        <w:t xml:space="preserve">在Quartus中全编译工程，生成.sof文件并下载到实验平台。编译过程与成功提示如图1所示。</w:t>
      </w:r>
    </w:p>
    <w:p>
      <w:pPr>
        <w:pStyle w:val="CaptionedFigure"/>
      </w:pPr>
      <w:r>
        <w:drawing>
          <wp:inline>
            <wp:extent cx="5486400" cy="3318428"/>
            <wp:effectExtent b="0" l="0" r="0" t="0"/>
            <wp:docPr descr="图1　Quartus工程编译过程与成功提示" title="" id="35" name="Picture"/>
            <a:graphic>
              <a:graphicData uri="http://schemas.openxmlformats.org/drawingml/2006/picture">
                <pic:pic>
                  <pic:nvPicPr>
                    <pic:cNvPr descr="img/fig1_compil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1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　Quartus工程编译过程与成功提示</w:t>
      </w:r>
    </w:p>
    <w:bookmarkEnd w:id="37"/>
    <w:bookmarkStart w:id="38" w:name="上板操作与验证"/>
    <w:p>
      <w:pPr>
        <w:pStyle w:val="3"/>
      </w:pPr>
      <w:r>
        <w:t xml:space="preserve">（6）上板操作与验证</w:t>
      </w:r>
    </w:p>
    <w:p>
      <w:pPr>
        <w:pStyle w:val="FirstParagraph"/>
      </w:pPr>
      <w:r>
        <w:t xml:space="preserve">按以下流程进行验证：复位 → 输入矩阵A（四个元素）→ 按D切换到矩阵B并输入 → 按B做加法、按C做乘法 → 按A进入单矩阵模式测试转置/乘方/行列式/模方，并观察LED灯条与蜂鸣器提示。</w:t>
      </w:r>
    </w:p>
    <w:bookmarkEnd w:id="38"/>
    <w:bookmarkEnd w:id="39"/>
    <w:bookmarkStart w:id="66" w:name="二实验数据及结果分析"/>
    <w:p>
      <w:pPr>
        <w:pStyle w:val="2"/>
      </w:pPr>
      <w:r>
        <w:t xml:space="preserve">二、实验数据及结果分析</w:t>
      </w:r>
    </w:p>
    <w:bookmarkStart w:id="40" w:name="仿真验证数据"/>
    <w:p>
      <w:pPr>
        <w:pStyle w:val="3"/>
      </w:pPr>
      <w:r>
        <w:t xml:space="preserve">（1）仿真验证数据</w:t>
      </w:r>
    </w:p>
    <w:p>
      <w:pPr>
        <w:pStyle w:val="FirstParagraph"/>
      </w:pPr>
      <w:r>
        <w:t xml:space="preserve">matrix_calculator_tb.vhd选取实际验证用例进行仿真，仿真结果与上板现象一致。</w:t>
      </w:r>
    </w:p>
    <w:p>
      <w:pPr>
        <w:pStyle w:val="a0"/>
      </w:pPr>
      <w:r>
        <w:rPr>
          <w:bCs/>
          <w:b/>
        </w:rPr>
        <w:t xml:space="preserve">矩阵加法验证</w:t>
      </w:r>
      <w:r>
        <w:t xml:space="preserve">（行优先存储）：</w:t>
      </w:r>
      <w:r>
        <w:t xml:space="preserve"> </w:t>
      </w:r>
      <w:r>
        <w:t xml:space="preserve">- 输入矩阵A：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（存储为[4,2,1,3]）</w:t>
      </w:r>
      <w:r>
        <w:t xml:space="preserve"> </w:t>
      </w:r>
      <w:r>
        <w:t xml:space="preserve">- 输入矩阵B：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（存储为[2,2,2,2]）</w:t>
      </w:r>
      <w:r>
        <w:t xml:space="preserve"> </w:t>
      </w:r>
      <w:r>
        <w:t xml:space="preserve">- 加法结果：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（存储为[6,4,3,5]），与图4上板结果一致</w:t>
      </w:r>
    </w:p>
    <w:p>
      <w:pPr>
        <w:pStyle w:val="a0"/>
      </w:pPr>
      <w:r>
        <w:rPr>
          <w:bCs/>
          <w:b/>
        </w:rPr>
        <w:t xml:space="preserve">矩阵乘法验证</w:t>
      </w:r>
      <w:r>
        <w:t xml:space="preserve">（验证溢出显示逻辑）：</w:t>
      </w:r>
      <w:r>
        <w:t xml:space="preserve"> </w:t>
      </w:r>
      <w:r>
        <w:t xml:space="preserve">- 输入矩阵A：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- 输入矩阵B：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- 乘法结果：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12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- 由于点阵显示采用0~9饱和限制，元素大于9时显示9，故点阵显示[9,9,9,9]，数码管低位显示精确值</w:t>
      </w:r>
    </w:p>
    <w:p>
      <w:pPr>
        <w:pStyle w:val="a0"/>
      </w:pPr>
      <w:r>
        <w:rPr>
          <w:bCs/>
          <w:b/>
        </w:rPr>
        <w:t xml:space="preserve">矩阵转置验证</w:t>
      </w:r>
      <w:r>
        <w:t xml:space="preserve">：</w:t>
      </w:r>
      <w:r>
        <w:t xml:space="preserve"> </w:t>
      </w:r>
      <w:r>
        <w:t xml:space="preserve">- 输入矩阵A：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（存储为[4,1,2,3]）</w:t>
      </w:r>
      <w:r>
        <w:t xml:space="preserve"> </w:t>
      </w:r>
      <w:r>
        <w:t xml:space="preserve">- 转置结果：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（存储为[4,2,1,3]），与图7上板结果一致</w:t>
      </w:r>
    </w:p>
    <w:p>
      <w:pPr>
        <w:pStyle w:val="a0"/>
      </w:pPr>
      <w:r>
        <w:rPr>
          <w:bCs/>
          <w:b/>
        </w:rPr>
        <w:t xml:space="preserve">矩阵乘方（平方）验证</w:t>
      </w:r>
      <w:r>
        <w:t xml:space="preserve">：</w:t>
      </w:r>
      <w:r>
        <w:t xml:space="preserve"> </w:t>
      </w:r>
      <w:r>
        <w:t xml:space="preserve">- 输入矩阵A：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（存储为[2,1,1,2]）</w:t>
      </w:r>
      <w:r>
        <w:t xml:space="preserve"> </w:t>
      </w:r>
      <w:r>
        <w:t xml:space="preserve">- 平方结果：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（存储为[5,4,4,5]），与图9上板结果一致</w:t>
      </w:r>
    </w:p>
    <w:p>
      <w:pPr>
        <w:pStyle w:val="a0"/>
      </w:pPr>
      <w:r>
        <w:t xml:space="preserve">表1汇总了实际验证用例与预期结果。</w:t>
      </w:r>
    </w:p>
    <w:p>
      <w:pPr>
        <w:pStyle w:val="TableCaption"/>
      </w:pPr>
      <w:r>
        <w:t xml:space="preserve">表1　实际验证用例与预期结果 {#tbl:验证数据}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1　实际验证用例与预期结果 {#tbl:验证数据}"/>
      </w:tblPr>
      <w:tblGrid>
        <w:gridCol w:w="896"/>
        <w:gridCol w:w="1643"/>
        <w:gridCol w:w="1643"/>
        <w:gridCol w:w="2241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输入矩阵A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输入矩阵B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理论/期望输出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对应图号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矩阵加法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图4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矩阵乘法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t>12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oMath>
            <w:r>
              <w:t xml:space="preserve">（点阵饱和显示9）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矩阵转置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图7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矩阵平方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图9</w:t>
            </w:r>
          </w:p>
        </w:tc>
      </w:tr>
    </w:tbl>
    <w:bookmarkEnd w:id="40"/>
    <w:bookmarkStart w:id="65" w:name="上板现象与结果分析"/>
    <w:p>
      <w:pPr>
        <w:pStyle w:val="3"/>
      </w:pPr>
      <w:r>
        <w:t xml:space="preserve">（2）上板现象与结果分析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矩阵输入</w:t>
      </w:r>
      <w:r>
        <w:t xml:space="preserve">：输入矩阵A与B时，LED点阵以2×2形式显示四个元素，数码管同步显示数值并用小数点提示当前输入位置（如图2、图3）。该现象说明键盘扫描、去抖与输入光标推进逻辑稳定可用。</w:t>
      </w:r>
    </w:p>
    <w:p>
      <w:pPr>
        <w:pStyle w:val="CaptionedFigure"/>
      </w:pPr>
      <w:r>
        <w:drawing>
          <wp:inline>
            <wp:extent cx="5486400" cy="7315200"/>
            <wp:effectExtent b="0" l="0" r="0" t="0"/>
            <wp:docPr descr="图2　输入矩阵A的显示（点阵/数码管同步变化）" title="" id="42" name="Picture"/>
            <a:graphic>
              <a:graphicData uri="http://schemas.openxmlformats.org/drawingml/2006/picture">
                <pic:pic>
                  <pic:nvPicPr>
                    <pic:cNvPr descr="img/fig2_input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　输入矩阵A的显示（点阵/数码管同步变化）</w:t>
      </w:r>
    </w:p>
    <w:p>
      <w:pPr>
        <w:pStyle w:val="CaptionedFigure"/>
      </w:pPr>
      <w:r>
        <w:drawing>
          <wp:inline>
            <wp:extent cx="5486400" cy="7315200"/>
            <wp:effectExtent b="0" l="0" r="0" t="0"/>
            <wp:docPr descr="图3　输入矩阵B的显示（切换到B后继续录入）" title="" id="45" name="Picture"/>
            <a:graphic>
              <a:graphicData uri="http://schemas.openxmlformats.org/drawingml/2006/picture">
                <pic:pic>
                  <pic:nvPicPr>
                    <pic:cNvPr descr="img/fig3_inputB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　输入矩阵B的显示（切换到B后继续录入）</w:t>
      </w:r>
    </w:p>
    <w:p>
      <w:pPr>
        <w:pStyle w:val="CaptionedFigure"/>
      </w:pPr>
      <w:r>
        <w:drawing>
          <wp:inline>
            <wp:extent cx="5486400" cy="7315200"/>
            <wp:effectExtent b="0" l="0" r="0" t="0"/>
            <wp:docPr descr="图4　矩阵加法结果显示（结果查看模式）" title="" id="48" name="Picture"/>
            <a:graphic>
              <a:graphicData uri="http://schemas.openxmlformats.org/drawingml/2006/picture">
                <pic:pic>
                  <pic:nvPicPr>
                    <pic:cNvPr descr="img/fig4_ad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　矩阵加法结果显示（结果查看模式）</w:t>
      </w:r>
    </w:p>
    <w:p>
      <w:pPr>
        <w:pStyle w:val="CaptionedFigure"/>
      </w:pPr>
      <w:r>
        <w:drawing>
          <wp:inline>
            <wp:extent cx="5486400" cy="4114800"/>
            <wp:effectExtent b="0" l="0" r="0" t="0"/>
            <wp:docPr descr="图5　矩阵乘法结果（较大元素点阵饱和显示为9）" title="" id="51" name="Picture"/>
            <a:graphic>
              <a:graphicData uri="http://schemas.openxmlformats.org/drawingml/2006/picture">
                <pic:pic>
                  <pic:nvPicPr>
                    <pic:cNvPr descr="img/fig5_multipl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　矩阵乘法结果（较大元素点阵饱和显示为9）</w:t>
      </w:r>
    </w:p>
    <w:p>
      <w:pPr>
        <w:pStyle w:val="CaptionedFigure"/>
      </w:pPr>
      <w:r>
        <w:drawing>
          <wp:inline>
            <wp:extent cx="5486400" cy="7315200"/>
            <wp:effectExtent b="0" l="0" r="0" t="0"/>
            <wp:docPr descr="图6　进入单矩阵模式后的状态指示" title="" id="54" name="Picture"/>
            <a:graphic>
              <a:graphicData uri="http://schemas.openxmlformats.org/drawingml/2006/picture">
                <pic:pic>
                  <pic:nvPicPr>
                    <pic:cNvPr descr="img/fig6_mod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　进入单矩阵模式后的状态指示</w:t>
      </w:r>
    </w:p>
    <w:p>
      <w:pPr>
        <w:pStyle w:val="CaptionedFigure"/>
      </w:pPr>
      <w:r>
        <w:drawing>
          <wp:inline>
            <wp:extent cx="5486400" cy="3013233"/>
            <wp:effectExtent b="0" l="0" r="0" t="0"/>
            <wp:docPr descr="图7　转置运算结果显示" title="" id="57" name="Picture"/>
            <a:graphic>
              <a:graphicData uri="http://schemas.openxmlformats.org/drawingml/2006/picture">
                <pic:pic>
                  <pic:nvPicPr>
                    <pic:cNvPr descr="img/fig7_transpo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　转置运算结果显示</w:t>
      </w:r>
    </w:p>
    <w:p>
      <w:pPr>
        <w:pStyle w:val="CaptionedFigure"/>
      </w:pPr>
      <w:r>
        <w:drawing>
          <wp:inline>
            <wp:extent cx="5486400" cy="4114800"/>
            <wp:effectExtent b="0" l="0" r="0" t="0"/>
            <wp:docPr descr="图8　进入乘方设置模式（输入幂次并确认）" title="" id="60" name="Picture"/>
            <a:graphic>
              <a:graphicData uri="http://schemas.openxmlformats.org/drawingml/2006/picture">
                <pic:pic>
                  <pic:nvPicPr>
                    <pic:cNvPr descr="img/fig8_power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　进入乘方设置模式（输入幂次并确认）</w:t>
      </w:r>
    </w:p>
    <w:p>
      <w:pPr>
        <w:pStyle w:val="CaptionedFigure"/>
      </w:pPr>
      <w:r>
        <w:drawing>
          <wp:inline>
            <wp:extent cx="5486400" cy="7315200"/>
            <wp:effectExtent b="0" l="0" r="0" t="0"/>
            <wp:docPr descr="图9　矩阵平方运算结果显示" title="" id="63" name="Picture"/>
            <a:graphic>
              <a:graphicData uri="http://schemas.openxmlformats.org/drawingml/2006/picture">
                <pic:pic>
                  <pic:nvPicPr>
                    <pic:cNvPr descr="img/fig9_power_resul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图9　矩阵平方运算结果显示</w:t>
      </w:r>
    </w:p>
    <w:bookmarkEnd w:id="65"/>
    <w:bookmarkEnd w:id="66"/>
    <w:bookmarkStart w:id="67" w:name="三实验结论"/>
    <w:p>
      <w:pPr>
        <w:pStyle w:val="2"/>
      </w:pPr>
      <w:r>
        <w:t xml:space="preserve">三、实验结论</w:t>
      </w:r>
    </w:p>
    <w:p>
      <w:pPr>
        <w:numPr>
          <w:ilvl w:val="0"/>
          <w:numId w:val="1008"/>
        </w:numPr>
      </w:pPr>
      <w:r>
        <w:t xml:space="preserve">完成4×4矩阵键盘扫描与去抖设计，实现稳定键值解码与单次触发脉冲输出</w:t>
      </w:r>
    </w:p>
    <w:p>
      <w:pPr>
        <w:numPr>
          <w:ilvl w:val="0"/>
          <w:numId w:val="1008"/>
        </w:numPr>
      </w:pPr>
      <w:r>
        <w:t xml:space="preserve">实现2×2矩阵A/B的输入与显示，支持A/B切换与输入位置提示</w:t>
      </w:r>
    </w:p>
    <w:p>
      <w:pPr>
        <w:numPr>
          <w:ilvl w:val="0"/>
          <w:numId w:val="1008"/>
        </w:numPr>
      </w:pPr>
      <w:r>
        <w:t xml:space="preserve">完成并验证矩阵加法、乘法与单矩阵运算（转置、乘方、行列式、模方）</w:t>
      </w:r>
    </w:p>
    <w:p>
      <w:pPr>
        <w:numPr>
          <w:ilvl w:val="0"/>
          <w:numId w:val="1008"/>
        </w:numPr>
      </w:pPr>
      <w:r>
        <w:t xml:space="preserve">数码管与LED点阵动态扫描稳定，蜂鸣器与LED灯条提升了交互可用性</w:t>
      </w:r>
    </w:p>
    <w:bookmarkEnd w:id="67"/>
    <w:bookmarkStart w:id="68" w:name="四总结及心得体会"/>
    <w:p>
      <w:pPr>
        <w:pStyle w:val="2"/>
      </w:pPr>
      <w:r>
        <w:t xml:space="preserve">四、总结及心得体会</w:t>
      </w:r>
    </w:p>
    <w:p>
      <w:pPr>
        <w:pStyle w:val="FirstParagraph"/>
      </w:pPr>
      <w:r>
        <w:t xml:space="preserve">本实验是从「单功能模块」走向「可交互系统」的一次综合训练。实际完成过程中，我感受到硬件实验最容易出问题的不是公式本身，而是边界条件与工程细节（有效电平、去抖、刷新频率、位宽/溢出等）。只要其中一处不闭环，上板现象就会变得不稳定或难以复现。</w:t>
      </w:r>
    </w:p>
    <w:p>
      <w:pPr>
        <w:pStyle w:val="a0"/>
      </w:pPr>
      <w:r>
        <w:t xml:space="preserve">本次实验的主要收获与反思如下：</w:t>
      </w:r>
    </w:p>
    <w:p>
      <w:pPr>
        <w:numPr>
          <w:ilvl w:val="0"/>
          <w:numId w:val="1009"/>
        </w:numPr>
      </w:pPr>
      <w:r>
        <w:t xml:space="preserve">去抖与单次触发必须从结构上保证，建议由键盘模块统一输出确认脉冲，上层逻辑只响应脉冲边沿</w:t>
      </w:r>
    </w:p>
    <w:p>
      <w:pPr>
        <w:numPr>
          <w:ilvl w:val="0"/>
          <w:numId w:val="1009"/>
        </w:numPr>
      </w:pPr>
      <w:r>
        <w:t xml:space="preserve">动态扫描应优先保证刷新频率与低有效逻辑正确，再做字模/段码映射调优</w:t>
      </w:r>
    </w:p>
    <w:p>
      <w:pPr>
        <w:numPr>
          <w:ilvl w:val="0"/>
          <w:numId w:val="1009"/>
        </w:numPr>
      </w:pPr>
      <w:r>
        <w:t xml:space="preserve">矩阵乘法与乘方容易产生大数，需要提前规划中间位宽与显示策略（例如截断、饱和或溢出提示）</w:t>
      </w:r>
    </w:p>
    <w:p>
      <w:pPr>
        <w:numPr>
          <w:ilvl w:val="0"/>
          <w:numId w:val="1009"/>
        </w:numPr>
      </w:pPr>
      <w:r>
        <w:t xml:space="preserve">调试顺序建议「仿真断言 → 综合编译 → 上板验证」，能显著降低盲调成本</w:t>
      </w:r>
    </w:p>
    <w:bookmarkEnd w:id="68"/>
    <w:bookmarkStart w:id="71" w:name="五附录实验源码"/>
    <w:p>
      <w:pPr>
        <w:pStyle w:val="2"/>
      </w:pPr>
      <w:r>
        <w:t xml:space="preserve">五、附录（实验源码）</w:t>
      </w:r>
    </w:p>
    <w:bookmarkStart w:id="69" w:name="源码文件位置"/>
    <w:p>
      <w:pPr>
        <w:pStyle w:val="3"/>
      </w:pPr>
      <w:r>
        <w:t xml:space="preserve">（1）源码文件位置</w:t>
      </w:r>
    </w:p>
    <w:p>
      <w:pPr>
        <w:pStyle w:val="FirstParagraph"/>
      </w:pPr>
      <w:r>
        <w:t xml:space="preserve">本实验源码位于exp14/目录，关键文件包括：exp14_top.vhd、key_scanner.vhd、matrix_calculator.vhd、seg6_mux.vhd、led_matrix_2x2_hex.vhd，以及自检testbench：key_scanner_tb.vhd、matrix_calculator_tb.vhd。</w:t>
      </w:r>
    </w:p>
    <w:bookmarkEnd w:id="69"/>
    <w:bookmarkStart w:id="70" w:name="仿真与编译命令可复现"/>
    <w:p>
      <w:pPr>
        <w:pStyle w:val="3"/>
      </w:pPr>
      <w:r>
        <w:t xml:space="preserve">（2）仿真与编译命令（可复现）</w:t>
      </w:r>
    </w:p>
    <w:p>
      <w:pPr>
        <w:pStyle w:val="FirstParagraph"/>
      </w:pPr>
      <w:r>
        <w:t xml:space="preserve">GHDL仿真示例：</w:t>
      </w:r>
    </w:p>
    <w:p>
      <w:pPr>
        <w:pStyle w:val="SourceCode"/>
      </w:pPr>
      <w:r>
        <w:rPr>
          <w:rStyle w:val="ExtensionTok"/>
        </w:rPr>
        <w:t xml:space="preserve">ghdl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exp14/key_scanner.vhd exp14/key_scanner_tb.vhd</w:t>
      </w:r>
      <w:r>
        <w:br/>
      </w:r>
      <w:r>
        <w:rPr>
          <w:rStyle w:val="ExtensionTok"/>
        </w:rPr>
        <w:t xml:space="preserve">ghdl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key_scanner_tb</w:t>
      </w:r>
      <w:r>
        <w:br/>
      </w:r>
      <w:r>
        <w:rPr>
          <w:rStyle w:val="ExtensionTok"/>
        </w:rPr>
        <w:t xml:space="preserve">ghdl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key_scanner_tb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key_scanner.vcd</w:t>
      </w:r>
      <w:r>
        <w:br/>
      </w:r>
      <w:r>
        <w:br/>
      </w:r>
      <w:r>
        <w:rPr>
          <w:rStyle w:val="ExtensionTok"/>
        </w:rPr>
        <w:t xml:space="preserve">ghdl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exp14/matrix_calculator.vhd exp14/matrix_calculator_tb.vhd</w:t>
      </w:r>
      <w:r>
        <w:br/>
      </w:r>
      <w:r>
        <w:rPr>
          <w:rStyle w:val="ExtensionTok"/>
        </w:rPr>
        <w:t xml:space="preserve">ghdl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matrix_calculator_tb</w:t>
      </w:r>
      <w:r>
        <w:br/>
      </w:r>
      <w:r>
        <w:rPr>
          <w:rStyle w:val="ExtensionTok"/>
        </w:rPr>
        <w:t xml:space="preserve">ghdl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matrix_calculator_tb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matrix_calculator.vcd</w:t>
      </w:r>
    </w:p>
    <w:p>
      <w:pPr>
        <w:pStyle w:val="FirstParagraph"/>
      </w:pPr>
      <w:r>
        <w:t xml:space="preserve">Quartus编译（在exp14/目录）：</w:t>
      </w:r>
    </w:p>
    <w:p>
      <w:pPr>
        <w:pStyle w:val="SourceCode"/>
      </w:pPr>
      <w:r>
        <w:rPr>
          <w:rStyle w:val="ExtensionTok"/>
        </w:rPr>
        <w:t xml:space="preserve">quartus_sh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compile exp14_top</w:t>
      </w:r>
    </w:p>
    <w:bookmarkEnd w:id="70"/>
    <w:bookmarkEnd w:id="71"/>
    <w:sectPr w:rsidR="00D472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47647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35389661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11E51"/>
    <w:pPr>
      <w:spacing w:line="300" w:lineRule="auto"/>
    </w:pPr>
    <w:rPr>
      <w:rFonts w:ascii="Times New Roman" w:hAnsi="Times New Roman"/>
      <w:color w:themeColor="text1" w:val="000000"/>
    </w:rPr>
  </w:style>
  <w:style w:styleId="1" w:type="paragraph">
    <w:name w:val="heading 1"/>
    <w:basedOn w:val="a"/>
    <w:next w:val="a0"/>
    <w:uiPriority w:val="9"/>
    <w:qFormat/>
    <w:rsid w:val="00911E51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4" w:type="paragraph">
    <w:name w:val="heading 4"/>
    <w:basedOn w:val="a"/>
    <w:next w:val="a0"/>
    <w:uiPriority w:val="9"/>
    <w:unhideWhenUsed/>
    <w:qFormat/>
    <w:rsid w:val="008A7F66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8A7F66"/>
    <w:pPr>
      <w:spacing w:after="180" w:before="180"/>
      <w:ind w:firstLine="200" w:firstLineChars="200"/>
      <w:jc w:val="both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"/>
    <w:qFormat/>
    <w:rsid w:val="00594455"/>
    <w:pPr>
      <w:spacing w:after="0" w:line="240" w:lineRule="auto"/>
      <w:contextualSpacing/>
    </w:pPr>
  </w:style>
  <w:style w:styleId="a4" w:type="paragraph">
    <w:name w:val="Title"/>
    <w:basedOn w:val="a"/>
    <w:next w:val="a0"/>
    <w:qFormat/>
    <w:rsid w:val="00911E51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2"/>
      <w:szCs w:val="36"/>
    </w:rPr>
  </w:style>
  <w:style w:styleId="a5" w:type="paragraph">
    <w:name w:val="Subtitle"/>
    <w:basedOn w:val="a4"/>
    <w:next w:val="a0"/>
    <w:qFormat/>
    <w:rsid w:val="00E50435"/>
    <w:pPr>
      <w:spacing w:before="240"/>
    </w:pPr>
    <w:rPr>
      <w:rFonts w:eastAsia="华文新魏"/>
      <w:sz w:val="36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rsid w:val="00911E51"/>
    <w:pPr>
      <w:keepNext/>
      <w:keepLines/>
      <w:spacing w:after="300" w:before="100"/>
    </w:pPr>
    <w:rPr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rsid w:val="008E6E08"/>
    <w:pPr>
      <w:pBdr>
        <w:left w:color="auto" w:space="4" w:sz="18" w:val="single"/>
      </w:pBdr>
      <w:shd w:color="auto" w:fill="D9D9D9" w:themeFill="background1" w:themeFillShade="D9" w:val="clear"/>
      <w:spacing w:after="100" w:before="100"/>
      <w:ind w:firstLine="0" w:firstLineChars="0" w:left="200" w:leftChars="200" w:right="482"/>
    </w:pPr>
    <w:rPr>
      <w:rFonts w:eastAsia="楷体"/>
      <w:color w:val="404040"/>
    </w:r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rsid w:val="008A7F66"/>
    <w:pPr>
      <w:keepNext/>
      <w:jc w:val="center"/>
    </w:pPr>
    <w:rPr>
      <w:i w:val="0"/>
      <w:color w:val="595959"/>
      <w:sz w:val="21"/>
    </w:rPr>
  </w:style>
  <w:style w:customStyle="1" w:styleId="ImageCaption" w:type="paragraph">
    <w:name w:val="Image Caption"/>
    <w:basedOn w:val="aa"/>
    <w:rsid w:val="008E6E08"/>
    <w:pPr>
      <w:spacing w:before="120"/>
      <w:jc w:val="center"/>
    </w:pPr>
    <w:rPr>
      <w:i w:val="0"/>
      <w:color w:val="595959"/>
      <w:sz w:val="21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rsid w:val="00C6165F"/>
    <w:pPr>
      <w:keepNext/>
      <w:jc w:val="center"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sid w:val="008E6E08"/>
    <w:rPr>
      <w:rFonts w:ascii="Consolas" w:eastAsia="JetBrains Mono" w:hAnsi="Consolas"/>
      <w:sz w:val="22"/>
      <w:bdr w:color="auto" w:space="0" w:sz="0" w:val="none"/>
      <w:shd w:color="000000" w:fill="FFFFFF" w:themeColor="text1" w:themeFill="background1" w:val="pct5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sid w:val="008E6E08"/>
    <w:rPr>
      <w:color w:val="1DA1F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styleId="ae" w:type="paragraph">
    <w:name w:val="header"/>
    <w:basedOn w:val="a"/>
    <w:link w:val="af"/>
    <w:rsid w:val="00C6165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1"/>
    <w:link w:val="ae"/>
    <w:rsid w:val="00C6165F"/>
    <w:rPr>
      <w:rFonts w:ascii="Times New Roman" w:hAnsi="Times New Roman"/>
      <w:color w:themeColor="text1" w:val="000000"/>
      <w:sz w:val="18"/>
      <w:szCs w:val="18"/>
    </w:rPr>
  </w:style>
  <w:style w:styleId="af0" w:type="paragraph">
    <w:name w:val="footer"/>
    <w:basedOn w:val="a"/>
    <w:link w:val="af1"/>
    <w:rsid w:val="00C6165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1"/>
    <w:link w:val="af0"/>
    <w:rsid w:val="00C6165F"/>
    <w:rPr>
      <w:rFonts w:ascii="Times New Roman" w:hAnsi="Times New Roman"/>
      <w:color w:themeColor="text1" w:val="000000"/>
      <w:sz w:val="18"/>
      <w:szCs w:val="18"/>
    </w:rPr>
  </w:style>
  <w:style w:styleId="af2" w:type="paragraph">
    <w:name w:val="List Paragraph"/>
    <w:basedOn w:val="Compact"/>
    <w:rsid w:val="00C434B4"/>
    <w:pPr>
      <w:snapToGrid w:val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2025-12-31T18:15:41Z</dcterms:created>
  <dcterms:modified xsi:type="dcterms:W3CDTF">2025-12-31T18:15:41Z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