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t>Notes 27/05</w:t>
      </w:r>
      <w:r>
        <w:rPr>
          <w:u/>
        </w:rPr>
      </w:r>
    </w:p>
    <w:p>
      <w:pPr>
        <w:pBdr/>
        <w:ind/>
        <w:jc w:val="left"/>
      </w:pPr>
      <w:r>
        <w:rPr>
          <w:rFonts w:eastAsia="微软雅黑" w:ascii="微软雅黑" w:hAnsi="微软雅黑" w:cs="微软雅黑"/>
          <w:sz w:val="28"/>
          <w:u w:color="auto"/>
        </w:rPr>
        <w:t>Broad firing, is the validation of setout predictions petitions and markets framework. To then further calibrate after 6 weeks once all the upcoming fixtures have settled and recorded. Then and only then can we introduce viable economic models, to measure the EV according, not before then. That's the aim, plan. And that's what should be online in full, and displayed.</w:t>
      </w:r>
      <w:r>
        <w:rPr>
          <w:u w:color="auto"/>
        </w:rPr>
        <w:t>﻿</w:t>
        <w:cr/>
        <w:t/>
        <w:cr/>
        <w:t/>
      </w:r>
      <w:r>
        <w:rPr>
          <w:rFonts w:eastAsia="微软雅黑" w:ascii="微软雅黑" w:hAnsi="微软雅黑" w:cs="微软雅黑"/>
          <w:sz w:val="28"/>
          <w:u w:color="auto"/>
        </w:rPr>
        <w:t>That's my frustration now is that those are not showing or reflected in the current emits and performance or the fixtures utilized.</w:t>
      </w:r>
      <w:r>
        <w:rPr>
          <w:u w:color="auto"/>
        </w:rPr>
        <w:t>﻿</w:t>
        <w:cr/>
        <w:t/>
        <w:cr/>
        <w:t/>
      </w:r>
      <w:r>
        <w:rPr>
          <w:rFonts w:eastAsia="微软雅黑" w:ascii="微软雅黑" w:hAnsi="微软雅黑" w:cs="微软雅黑"/>
          <w:sz w:val="28"/>
          <w:u w:color="auto"/>
        </w:rPr>
        <w:t xml:space="preserve">Treating each market as it's own entity </w:t>
      </w:r>
      <w:r>
        <w:rPr>
          <w:u w:color="auto"/>
        </w:rPr>
        <w:t>﻿</w:t>
        <w:cr/>
        <w:t/>
      </w:r>
      <w:r>
        <w:rPr>
          <w:rFonts w:eastAsia="微软雅黑" w:ascii="微软雅黑" w:hAnsi="微软雅黑" w:cs="微软雅黑"/>
          <w:sz w:val="28"/>
          <w:u w:color="auto"/>
        </w:rPr>
        <w:t xml:space="preserve">Petitions Cary 3 picks on their foundation, natural line. 3 way pick,goals, corners kicks. Meaning each fixture carries a weight of out of 3 possible forecasts. Binary count </w:t>
      </w:r>
      <w:r>
        <w:rPr>
          <w:u w:color="auto"/>
        </w:rPr>
        <w:t>﻿</w:t>
        <w:cr/>
        <w:t/>
      </w:r>
      <w:r>
        <w:rPr>
          <w:rFonts w:eastAsia="微软雅黑" w:ascii="微软雅黑" w:hAnsi="微软雅黑" w:cs="微软雅黑"/>
          <w:sz w:val="28"/>
          <w:u w:color="auto"/>
        </w:rPr>
        <w:t>The app is failing to read back the actual count in terms of each "hit rate by market" by each Petition.</w:t>
      </w:r>
      <w:r>
        <w:rPr>
          <w:u w:color="auto"/>
        </w:rPr>
        <w:t>﻿</w:t>
        <w:cr/>
        <w:t/>
        <w:cr/>
        <w:t/>
      </w:r>
      <w:r>
        <w:rPr>
          <w:rFonts w:eastAsia="微软雅黑" w:ascii="微软雅黑" w:hAnsi="微软雅黑" w:cs="微软雅黑"/>
          <w:sz w:val="28"/>
          <w:u w:color="auto"/>
        </w:rPr>
        <w:t>Furthermore id add that for low and one-sided zones considering the 3 way pick market. The emit is alpha win straight win pick, and further for the strong and standard zone the emit is Draw no bet. Goals and corners emits are based on natural line depending on the draw zone the fixture is classified under.</w:t>
      </w:r>
      <w:r>
        <w:rPr>
          <w:u w:color="auto"/>
        </w:rPr>
        <w:t>﻿</w:t>
        <w:cr/>
        <w:t/>
        <w:cr/>
        <w:t/>
      </w:r>
      <w:r>
        <w:rPr>
          <w:rFonts w:eastAsia="微软雅黑" w:ascii="微软雅黑" w:hAnsi="微软雅黑" w:cs="微软雅黑"/>
          <w:sz w:val="28"/>
          <w:u w:color="auto"/>
        </w:rPr>
        <w:t xml:space="preserve">Furthermore the draw zone of 4 is wide and I would like to hammer down my intuition that the draw zone captured by the notes revised, the three should be my zones, regardless of the one and both sided zones stats, I think it's best to realign my zones to the three.undet the V3 policy foundation analysis matrix. With hit rate being the definitive eadge, no EV or economical consideration in any shape of form. Not for drift nor for promotion or watching, signaling the online has to measure,emit, and calibrate itself inline with the foundations analysis T1 and T2+T3. </w:t>
      </w:r>
      <w:r>
        <w:rPr>
          <w:u w:color="auto"/>
        </w:rPr>
        <w:t>﻿</w:t>
        <w:cr/>
        <w:t/>
        <w:cr/>
        <w:t/>
      </w:r>
      <w:r>
        <w:rPr>
          <w:rFonts w:eastAsia="微软雅黑" w:ascii="微软雅黑" w:hAnsi="微软雅黑" w:cs="微软雅黑"/>
          <w:sz w:val="28"/>
          <w:u w:color="auto"/>
        </w:rPr>
        <w:t xml:space="preserve">System and predicted uncertainty, including teams form and positions, etc. play no part. Each fixture is treated with reference to the odds"drivers as identified" and further with the H2H corner signals, not averaged but counts, along with the Difference Factor (DF). </w:t>
      </w:r>
      <w:r>
        <w:rPr>
          <w:u w:color="auto"/>
        </w:rPr>
        <w:t>﻿</w:t>
        <w:cr/>
        <w:t/>
        <w:cr/>
        <w:t/>
      </w:r>
      <w:r>
        <w:rPr>
          <w:rFonts w:eastAsia="微软雅黑" w:ascii="微软雅黑" w:hAnsi="微软雅黑" w:cs="微软雅黑"/>
          <w:sz w:val="28"/>
          <w:u w:color="auto"/>
        </w:rPr>
        <w:t>So what the online system needs to reflect is practically the settlements in each market, alongside the performance of each market. Not blended or counts weighted outside the hit rate Foundation.</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2026-05-28T14:48:27Z</dcterms:created>
  <dc:creator>Apache POI</dc:creator>
</cp:coreProperties>
</file>