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pPr>
        <w:pStyle w:val="Heading1"/>
      </w:pPr>
      <w:r>
        <w:t xml:space="preserve">Acme Annual Report 2026</w:t>
      </w:r>
    </w:p>
    <w:p>
      <w:r>
        <w:t xml:space="preserve">This report opens on a cover page with its own first-page header, while every following page carries the standard running header (company name on the left, the date on the right) and a centered page-number footer.</w:t>
      </w:r>
    </w:p>
    <w:p>
      <w:r>
        <w:br w:type="page"/>
      </w:r>
    </w:p>
    <w:p>
      <w:r>
        <w:t xml:space="preserve">The body continues onto a second page so the running header, the first-page header, and the page-count footer are all visible and distinct in a render.</w:t>
      </w:r>
    </w:p>
    <w:sectPr>
      <w:headerReference w:type="default" r:id="rId6"/>
      <w:headerReference w:type="first" r:id="rId7"/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t xml:space="preserve">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9360"/>
      </w:tabs>
    </w:pPr>
    <w:r>
      <w:t xml:space="preserve">Acme Corporation</w:t>
    </w:r>
    <w:r>
      <w:tab/>
    </w:r>
    <w:fldSimple w:instr=" DATE ">
      <w:r>
        <w:t xml:space="preserve"/>
      </w:r>
    </w:fldSimple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Annual Report</w:t>
    </w:r>
    <w:r>
      <w:br/>
    </w:r>
    <w:r>
      <w:t xml:space="preserve">2026</w:t>
    </w:r>
  </w:p>
</w:hdr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Theme="majorHAnsi" w:hAnsiTheme="majorHAnsi" w:cstheme="majorBidi"/>
      <w:b/>
      <w:color w:val="2E74B5"/>
      <w:sz w:val="32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Acme Annual Report</dc:title>
  <dc:creator>docx-cli</dc:creator>
  <cp:lastModifiedBy>docx-cli</cp:lastModifiedBy>
  <dcterms:created xsi:type="dcterms:W3CDTF">2026-05-22T00:00:00Z</dcterms:created>
  <dcterms:modified xsi:type="dcterms:W3CDTF">2026-05-22T00:00:00Z</dcterms:modified>
</cp:coreProperties>
</file>